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5B7312" w:rsidRDefault="00230C2C">
      <w:pPr>
        <w:spacing w:after="360"/>
        <w:ind w:left="697" w:right="-285"/>
        <w:rPr>
          <w:rFonts w:ascii="Arial" w:hAnsi="Arial"/>
          <w:b/>
          <w:sz w:val="32"/>
        </w:rPr>
      </w:pPr>
      <w:proofErr w:type="gramStart"/>
      <w:r>
        <w:rPr>
          <w:rFonts w:ascii="Arial" w:hAnsi="Arial"/>
          <w:b/>
          <w:sz w:val="32"/>
        </w:rPr>
        <w:t>secunet</w:t>
      </w:r>
      <w:proofErr w:type="gramEnd"/>
      <w:r>
        <w:rPr>
          <w:rFonts w:ascii="Arial" w:hAnsi="Arial"/>
          <w:b/>
          <w:sz w:val="32"/>
        </w:rPr>
        <w:t xml:space="preserve"> Security Networks AG closes first half of 2020 with very good results</w:t>
      </w:r>
    </w:p>
    <w:p w:rsidR="00230C2C" w:rsidRPr="005B7312" w:rsidRDefault="00230C2C" w:rsidP="00230C2C">
      <w:pPr>
        <w:pStyle w:val="Listenabsatz"/>
        <w:numPr>
          <w:ilvl w:val="0"/>
          <w:numId w:val="25"/>
        </w:numPr>
        <w:spacing w:after="360" w:line="360" w:lineRule="auto"/>
        <w:ind w:right="-285"/>
        <w:rPr>
          <w:rFonts w:ascii="Arial" w:hAnsi="Arial"/>
          <w:b/>
          <w:sz w:val="22"/>
        </w:rPr>
      </w:pPr>
      <w:r>
        <w:rPr>
          <w:rFonts w:ascii="Arial" w:hAnsi="Arial"/>
          <w:b/>
          <w:sz w:val="22"/>
        </w:rPr>
        <w:t>Sales grow to 113.4 million euros – a 12% increase on the first half of 2019</w:t>
      </w:r>
    </w:p>
    <w:p w:rsidR="00230C2C" w:rsidRPr="005B7312" w:rsidRDefault="002F7350" w:rsidP="00230C2C">
      <w:pPr>
        <w:pStyle w:val="Listenabsatz"/>
        <w:numPr>
          <w:ilvl w:val="0"/>
          <w:numId w:val="25"/>
        </w:numPr>
        <w:spacing w:after="360" w:line="360" w:lineRule="auto"/>
        <w:ind w:right="-285"/>
        <w:rPr>
          <w:rFonts w:ascii="Arial" w:hAnsi="Arial"/>
          <w:b/>
          <w:sz w:val="22"/>
        </w:rPr>
      </w:pPr>
      <w:r>
        <w:rPr>
          <w:rFonts w:ascii="Arial" w:hAnsi="Arial"/>
          <w:b/>
          <w:sz w:val="22"/>
        </w:rPr>
        <w:t>EBIT: 16.2</w:t>
      </w:r>
      <w:r w:rsidR="00230C2C">
        <w:rPr>
          <w:rFonts w:ascii="Arial" w:hAnsi="Arial"/>
          <w:b/>
          <w:sz w:val="22"/>
        </w:rPr>
        <w:t xml:space="preserve"> million euros – up 38% on the previous year</w:t>
      </w:r>
    </w:p>
    <w:p w:rsidR="00230C2C" w:rsidRPr="005B7312" w:rsidRDefault="009068BF" w:rsidP="00230C2C">
      <w:pPr>
        <w:pStyle w:val="Listenabsatz"/>
        <w:numPr>
          <w:ilvl w:val="0"/>
          <w:numId w:val="25"/>
        </w:numPr>
        <w:spacing w:after="360" w:line="360" w:lineRule="auto"/>
        <w:ind w:right="-285"/>
        <w:rPr>
          <w:rFonts w:ascii="Arial" w:hAnsi="Arial"/>
          <w:b/>
          <w:sz w:val="22"/>
        </w:rPr>
      </w:pPr>
      <w:r>
        <w:rPr>
          <w:rFonts w:ascii="Arial" w:hAnsi="Arial"/>
          <w:b/>
          <w:sz w:val="22"/>
        </w:rPr>
        <w:t xml:space="preserve">Order book remains considerably higher than previous year’s value </w:t>
      </w:r>
    </w:p>
    <w:p w:rsidR="00230C2C" w:rsidRPr="005B7312" w:rsidRDefault="00D668B0" w:rsidP="00230C2C">
      <w:pPr>
        <w:pStyle w:val="Listenabsatz"/>
        <w:numPr>
          <w:ilvl w:val="0"/>
          <w:numId w:val="25"/>
        </w:numPr>
        <w:spacing w:after="360" w:line="360" w:lineRule="auto"/>
        <w:ind w:right="-285"/>
        <w:rPr>
          <w:rFonts w:ascii="Arial" w:hAnsi="Arial"/>
          <w:b/>
          <w:sz w:val="22"/>
        </w:rPr>
      </w:pPr>
      <w:r>
        <w:rPr>
          <w:rFonts w:ascii="Arial" w:hAnsi="Arial"/>
          <w:b/>
          <w:sz w:val="22"/>
        </w:rPr>
        <w:t>Forecast for the year as a whole remains unchanged (as at June 2020)</w:t>
      </w:r>
    </w:p>
    <w:p w:rsidR="00A061AF" w:rsidRPr="00230C2C" w:rsidRDefault="009013CE" w:rsidP="00C17202">
      <w:pPr>
        <w:spacing w:after="120" w:line="360" w:lineRule="auto"/>
        <w:ind w:left="697"/>
        <w:jc w:val="both"/>
        <w:rPr>
          <w:rFonts w:ascii="Arial" w:hAnsi="Arial"/>
          <w:b/>
          <w:sz w:val="22"/>
        </w:rPr>
      </w:pPr>
      <w:r>
        <w:rPr>
          <w:rFonts w:ascii="Arial" w:hAnsi="Arial"/>
          <w:b/>
          <w:i/>
          <w:sz w:val="22"/>
        </w:rPr>
        <w:t>[Essen, 12 August 2020]</w:t>
      </w:r>
      <w:r>
        <w:rPr>
          <w:rFonts w:ascii="Arial" w:hAnsi="Arial"/>
          <w:b/>
          <w:sz w:val="22"/>
        </w:rPr>
        <w:t xml:space="preserve"> secunet Security Networks AG (ISIN DE0007276503, WKN 727650), a leading German provider of high-quality, trustworthy IT security and IT security partner of the Federal Republic of Germany, today </w:t>
      </w:r>
      <w:r w:rsidR="00EC083C">
        <w:rPr>
          <w:rFonts w:ascii="Arial" w:hAnsi="Arial"/>
          <w:b/>
          <w:sz w:val="22"/>
        </w:rPr>
        <w:t>publishes</w:t>
      </w:r>
      <w:r>
        <w:rPr>
          <w:rFonts w:ascii="Arial" w:hAnsi="Arial"/>
          <w:b/>
          <w:sz w:val="22"/>
        </w:rPr>
        <w:t xml:space="preserve"> its half-year financial report as at 30 June 2020. </w:t>
      </w:r>
    </w:p>
    <w:p w:rsidR="00523365" w:rsidRDefault="00C84353" w:rsidP="00C84353">
      <w:pPr>
        <w:spacing w:after="120" w:line="360" w:lineRule="auto"/>
        <w:ind w:left="697"/>
        <w:jc w:val="both"/>
        <w:rPr>
          <w:rFonts w:ascii="Arial" w:hAnsi="Arial"/>
          <w:sz w:val="22"/>
        </w:rPr>
      </w:pPr>
      <w:r>
        <w:rPr>
          <w:rFonts w:ascii="Arial" w:hAnsi="Arial"/>
          <w:sz w:val="22"/>
        </w:rPr>
        <w:t>In the first half-year 2020, secunet Group generated sales revenue of 113.4 million euros. Compared to the same pe</w:t>
      </w:r>
      <w:r w:rsidR="002F7350">
        <w:rPr>
          <w:rFonts w:ascii="Arial" w:hAnsi="Arial"/>
          <w:sz w:val="22"/>
        </w:rPr>
        <w:t>riod of the previous year (101.0</w:t>
      </w:r>
      <w:r>
        <w:rPr>
          <w:rFonts w:ascii="Arial" w:hAnsi="Arial"/>
          <w:sz w:val="22"/>
        </w:rPr>
        <w:t xml:space="preserve"> million euros), this repre</w:t>
      </w:r>
      <w:r w:rsidR="002F7350">
        <w:rPr>
          <w:rFonts w:ascii="Arial" w:hAnsi="Arial"/>
          <w:sz w:val="22"/>
        </w:rPr>
        <w:t>sents an increase of 12% or 12.4</w:t>
      </w:r>
      <w:r>
        <w:rPr>
          <w:rFonts w:ascii="Arial" w:hAnsi="Arial"/>
          <w:sz w:val="22"/>
        </w:rPr>
        <w:t xml:space="preserve"> million euros. The growth in sales revenue results primarily from the increased product business (trade goods, licences, maintenance and support) in the Public Sector division. </w:t>
      </w:r>
      <w:r w:rsidR="002F7350">
        <w:rPr>
          <w:rFonts w:ascii="Arial" w:hAnsi="Arial"/>
          <w:sz w:val="22"/>
        </w:rPr>
        <w:t xml:space="preserve">The secunet Group’s </w:t>
      </w:r>
      <w:r>
        <w:rPr>
          <w:rFonts w:ascii="Arial" w:hAnsi="Arial"/>
          <w:sz w:val="22"/>
        </w:rPr>
        <w:t>Sales in the second quarter of 2020 amounted to 80.8 million euros, a significant increase of 20.2 million euros, or 33%, on sales in the prior-year quarter (60.6 million euros).</w:t>
      </w:r>
    </w:p>
    <w:p w:rsidR="00C84353" w:rsidRDefault="002F7350" w:rsidP="008F6670">
      <w:pPr>
        <w:spacing w:after="120" w:line="360" w:lineRule="auto"/>
        <w:ind w:left="697"/>
        <w:jc w:val="both"/>
        <w:rPr>
          <w:rFonts w:ascii="Arial" w:hAnsi="Arial"/>
          <w:sz w:val="22"/>
        </w:rPr>
      </w:pPr>
      <w:r>
        <w:rPr>
          <w:rFonts w:ascii="Arial" w:hAnsi="Arial"/>
          <w:sz w:val="22"/>
        </w:rPr>
        <w:t>At 16.2</w:t>
      </w:r>
      <w:r w:rsidR="00C84353">
        <w:rPr>
          <w:rFonts w:ascii="Arial" w:hAnsi="Arial"/>
          <w:sz w:val="22"/>
        </w:rPr>
        <w:t xml:space="preserve"> million euros, earnings before interest and taxes (EBIT) of secunet Group after the first ha</w:t>
      </w:r>
      <w:r w:rsidR="00E4091F">
        <w:rPr>
          <w:rFonts w:ascii="Arial" w:hAnsi="Arial"/>
          <w:sz w:val="22"/>
        </w:rPr>
        <w:t>lf-year 2020 were up 38%, or 4.4</w:t>
      </w:r>
      <w:r w:rsidR="00C84353">
        <w:rPr>
          <w:rFonts w:ascii="Arial" w:hAnsi="Arial"/>
          <w:sz w:val="22"/>
        </w:rPr>
        <w:t xml:space="preserve"> million euros, on the EBIT in the same p</w:t>
      </w:r>
      <w:r w:rsidR="00E4091F">
        <w:rPr>
          <w:rFonts w:ascii="Arial" w:hAnsi="Arial"/>
          <w:sz w:val="22"/>
        </w:rPr>
        <w:t>eriod of the previous year (11.8</w:t>
      </w:r>
      <w:r w:rsidR="00C84353">
        <w:rPr>
          <w:rFonts w:ascii="Arial" w:hAnsi="Arial"/>
          <w:sz w:val="22"/>
        </w:rPr>
        <w:t xml:space="preserve"> million euros). The positive EBIT was achieved primarily as a result of the increased product sales revenu</w:t>
      </w:r>
      <w:r w:rsidR="00E4091F">
        <w:rPr>
          <w:rFonts w:ascii="Arial" w:hAnsi="Arial"/>
          <w:sz w:val="22"/>
        </w:rPr>
        <w:t>e in the second quarter: at 16.3</w:t>
      </w:r>
      <w:r w:rsidR="00C84353">
        <w:rPr>
          <w:rFonts w:ascii="Arial" w:hAnsi="Arial"/>
          <w:sz w:val="22"/>
        </w:rPr>
        <w:t xml:space="preserve"> million euros, the EBIT is considerably higher than in the second quarter of 2019 (9.4 million euros).</w:t>
      </w:r>
    </w:p>
    <w:p w:rsidR="00BC6ECB" w:rsidRDefault="00BC6ECB" w:rsidP="008F6670">
      <w:pPr>
        <w:spacing w:after="120" w:line="360" w:lineRule="auto"/>
        <w:ind w:left="697"/>
        <w:jc w:val="both"/>
        <w:rPr>
          <w:rFonts w:ascii="Arial" w:hAnsi="Arial"/>
          <w:sz w:val="22"/>
        </w:rPr>
      </w:pPr>
      <w:r>
        <w:rPr>
          <w:rFonts w:ascii="Arial" w:hAnsi="Arial"/>
          <w:sz w:val="22"/>
        </w:rPr>
        <w:lastRenderedPageBreak/>
        <w:t>After taxes, the Group profit for the period from Janua</w:t>
      </w:r>
      <w:r w:rsidR="00EC083C">
        <w:rPr>
          <w:rFonts w:ascii="Arial" w:hAnsi="Arial"/>
          <w:sz w:val="22"/>
        </w:rPr>
        <w:t>ry to June 2020 amounted to 10.9</w:t>
      </w:r>
      <w:r>
        <w:rPr>
          <w:rFonts w:ascii="Arial" w:hAnsi="Arial"/>
          <w:sz w:val="22"/>
        </w:rPr>
        <w:t xml:space="preserve"> million euros, compared with 7.7 million euros in the previous year. This </w:t>
      </w:r>
      <w:r w:rsidR="00E4091F">
        <w:rPr>
          <w:rFonts w:ascii="Arial" w:hAnsi="Arial"/>
          <w:sz w:val="22"/>
        </w:rPr>
        <w:t>corresponds to an increase of 42</w:t>
      </w:r>
      <w:r w:rsidR="002F7350">
        <w:rPr>
          <w:rFonts w:ascii="Arial" w:hAnsi="Arial"/>
          <w:sz w:val="22"/>
        </w:rPr>
        <w:t>% or 3.2</w:t>
      </w:r>
      <w:r>
        <w:rPr>
          <w:rFonts w:ascii="Arial" w:hAnsi="Arial"/>
          <w:sz w:val="22"/>
        </w:rPr>
        <w:t xml:space="preserve"> million euros. Earnings per share were 1.22 euros in</w:t>
      </w:r>
      <w:r w:rsidR="002F7350">
        <w:rPr>
          <w:rFonts w:ascii="Arial" w:hAnsi="Arial"/>
          <w:sz w:val="22"/>
        </w:rPr>
        <w:t xml:space="preserve"> the first half of 2019 and 1.71</w:t>
      </w:r>
      <w:r>
        <w:rPr>
          <w:rFonts w:ascii="Arial" w:hAnsi="Arial"/>
          <w:sz w:val="22"/>
        </w:rPr>
        <w:t xml:space="preserve"> euros in the first half of the current year.</w:t>
      </w:r>
    </w:p>
    <w:p w:rsidR="00C84353" w:rsidRDefault="00C84353" w:rsidP="005C1C5F">
      <w:pPr>
        <w:spacing w:after="120" w:line="360" w:lineRule="auto"/>
        <w:ind w:left="697"/>
        <w:jc w:val="both"/>
        <w:rPr>
          <w:rFonts w:ascii="Arial" w:hAnsi="Arial"/>
          <w:sz w:val="22"/>
        </w:rPr>
      </w:pPr>
      <w:r>
        <w:rPr>
          <w:rFonts w:ascii="Arial" w:hAnsi="Arial"/>
          <w:sz w:val="22"/>
        </w:rPr>
        <w:t>As at 30 June 2020, the order book of secunet Group in accordance with IFRS amounted to 111.7 million euros, following 81.0 million euros as at the previous year’s reporting date.</w:t>
      </w:r>
    </w:p>
    <w:p w:rsidR="008A7DFA" w:rsidRPr="005B7312" w:rsidRDefault="001E7B28" w:rsidP="005C1C5F">
      <w:pPr>
        <w:spacing w:after="120" w:line="360" w:lineRule="auto"/>
        <w:ind w:left="697"/>
        <w:jc w:val="both"/>
        <w:rPr>
          <w:rFonts w:ascii="Arial" w:hAnsi="Arial"/>
          <w:sz w:val="22"/>
        </w:rPr>
      </w:pPr>
      <w:bookmarkStart w:id="0" w:name="_GoBack"/>
      <w:r>
        <w:rPr>
          <w:rFonts w:ascii="Arial" w:hAnsi="Arial"/>
          <w:sz w:val="22"/>
        </w:rPr>
        <w:t>“Under the challenging conditions resulting from the coronavirus pandemic, we have achieved very good results in the first six months of the current 2020 financial year,” says Axel Deininger, CEO of secunet Security Networks AG. “</w:t>
      </w:r>
      <w:r w:rsidR="00BF1947">
        <w:rPr>
          <w:rFonts w:ascii="Arial" w:hAnsi="Arial"/>
          <w:sz w:val="22"/>
        </w:rPr>
        <w:t xml:space="preserve">Compared to the general risks from the coronavirus epidemic, the growth opportunities for secunet arising from the digitalisation push in the context of the pandemic </w:t>
      </w:r>
      <w:r w:rsidR="00C303DD">
        <w:rPr>
          <w:rFonts w:ascii="Arial" w:hAnsi="Arial"/>
          <w:sz w:val="22"/>
        </w:rPr>
        <w:t>outweigh</w:t>
      </w:r>
      <w:r w:rsidR="00BF1947">
        <w:rPr>
          <w:rFonts w:ascii="Arial" w:hAnsi="Arial"/>
          <w:sz w:val="22"/>
        </w:rPr>
        <w:t xml:space="preserve"> the risks</w:t>
      </w:r>
      <w:r>
        <w:rPr>
          <w:rFonts w:ascii="Arial" w:hAnsi="Arial"/>
          <w:sz w:val="22"/>
        </w:rPr>
        <w:t>. This perspective and the consistently very well-filled order book leave us with a confident outlook for the second half of the year.”</w:t>
      </w:r>
    </w:p>
    <w:bookmarkEnd w:id="0"/>
    <w:p w:rsidR="007F6002" w:rsidRPr="00AC6D4A" w:rsidRDefault="006C2A0A" w:rsidP="00195108">
      <w:pPr>
        <w:spacing w:after="120" w:line="360" w:lineRule="auto"/>
        <w:ind w:left="697"/>
        <w:jc w:val="both"/>
        <w:rPr>
          <w:rFonts w:ascii="Arial" w:hAnsi="Arial"/>
          <w:sz w:val="22"/>
        </w:rPr>
      </w:pPr>
      <w:r>
        <w:rPr>
          <w:rFonts w:ascii="Arial" w:hAnsi="Arial"/>
          <w:sz w:val="22"/>
        </w:rPr>
        <w:t>The Management Board of secunet Security Networks AG has confirmed its forecast for 2020 for secunet Group: it continues to expect sales revenues of around 270 million euros and earnings before interest and taxes (EBIT) of around 48 million euros (2019 financial year: sales revenues 226.9 million euros, EBIT 33.2 million euros).</w:t>
      </w:r>
    </w:p>
    <w:p w:rsidR="00B8280C" w:rsidRPr="00AC6D4A" w:rsidRDefault="00544113" w:rsidP="00AA3C26">
      <w:pPr>
        <w:spacing w:after="120" w:line="360" w:lineRule="auto"/>
        <w:ind w:left="697"/>
        <w:jc w:val="both"/>
        <w:rPr>
          <w:rFonts w:ascii="Arial" w:hAnsi="Arial"/>
          <w:sz w:val="22"/>
        </w:rPr>
      </w:pPr>
      <w:r>
        <w:rPr>
          <w:rFonts w:ascii="Arial" w:hAnsi="Arial"/>
          <w:i/>
          <w:sz w:val="22"/>
        </w:rPr>
        <w:t xml:space="preserve">The half-year financial report as at 30 June 2020 is available for downloading in the section Company / Investor Relations / Financial Reports and News at </w:t>
      </w:r>
      <w:hyperlink r:id="rId9" w:history="1">
        <w:r>
          <w:rPr>
            <w:rStyle w:val="Hyperlink"/>
            <w:rFonts w:ascii="Arial" w:hAnsi="Arial"/>
            <w:i/>
            <w:sz w:val="22"/>
          </w:rPr>
          <w:t>www.secunet.com</w:t>
        </w:r>
      </w:hyperlink>
      <w:r>
        <w:rPr>
          <w:rFonts w:ascii="Arial" w:hAnsi="Arial"/>
          <w:i/>
          <w:sz w:val="22"/>
        </w:rPr>
        <w:t>. Next financial date: 4 November 2020 Publication of the Group Quarterly Statement as at 30 September 2020</w:t>
      </w:r>
      <w:r>
        <w:rPr>
          <w:rFonts w:ascii="Arial" w:hAnsi="Arial"/>
          <w:sz w:val="22"/>
        </w:rPr>
        <w:t>.</w:t>
      </w:r>
    </w:p>
    <w:p w:rsidR="00A164CA" w:rsidRPr="00230C2C" w:rsidRDefault="00A164CA">
      <w:pPr>
        <w:ind w:left="708"/>
        <w:rPr>
          <w:rFonts w:ascii="Arial" w:hAnsi="Arial"/>
          <w:sz w:val="16"/>
          <w:highlight w:val="red"/>
        </w:rPr>
      </w:pPr>
    </w:p>
    <w:p w:rsidR="00BF22AC" w:rsidRDefault="0055390E" w:rsidP="00BF22AC">
      <w:pPr>
        <w:ind w:left="708"/>
        <w:outlineLvl w:val="0"/>
        <w:rPr>
          <w:rFonts w:ascii="Arial" w:hAnsi="Arial"/>
          <w:sz w:val="16"/>
        </w:rPr>
      </w:pPr>
      <w:r>
        <w:rPr>
          <w:rFonts w:ascii="Arial" w:hAnsi="Arial"/>
          <w:sz w:val="16"/>
        </w:rPr>
        <w:t>Number of characters: 2,787</w:t>
      </w:r>
    </w:p>
    <w:p w:rsidR="00BF22AC" w:rsidRDefault="00BF22AC" w:rsidP="00BF22AC">
      <w:pPr>
        <w:ind w:left="708"/>
        <w:rPr>
          <w:rFonts w:ascii="Arial" w:hAnsi="Arial"/>
          <w:sz w:val="16"/>
        </w:rPr>
      </w:pPr>
    </w:p>
    <w:p w:rsidR="002F7350" w:rsidRDefault="002F7350" w:rsidP="00BF22AC">
      <w:pPr>
        <w:ind w:left="708"/>
        <w:rPr>
          <w:rFonts w:ascii="Arial" w:hAnsi="Arial"/>
          <w:sz w:val="16"/>
        </w:rPr>
      </w:pPr>
    </w:p>
    <w:p w:rsidR="002F7350" w:rsidRDefault="002F7350" w:rsidP="00BF22AC">
      <w:pPr>
        <w:ind w:left="708"/>
        <w:rPr>
          <w:rFonts w:ascii="Arial" w:hAnsi="Arial"/>
          <w:sz w:val="16"/>
        </w:rPr>
      </w:pPr>
    </w:p>
    <w:p w:rsidR="00BF22AC" w:rsidRDefault="00BF22AC" w:rsidP="00BF22AC">
      <w:pPr>
        <w:rPr>
          <w:rFonts w:ascii="Arial" w:hAnsi="Arial"/>
          <w:b/>
          <w:sz w:val="16"/>
        </w:rPr>
      </w:pPr>
    </w:p>
    <w:p w:rsidR="00BF22AC" w:rsidRDefault="00BF22AC" w:rsidP="00BF22AC">
      <w:pPr>
        <w:pStyle w:val="Kopfzeile"/>
        <w:ind w:left="709"/>
        <w:jc w:val="both"/>
        <w:outlineLvl w:val="0"/>
        <w:rPr>
          <w:rFonts w:ascii="Arial" w:hAnsi="Arial"/>
          <w:b/>
          <w:sz w:val="16"/>
        </w:rPr>
      </w:pPr>
      <w:r>
        <w:rPr>
          <w:rFonts w:ascii="Arial" w:hAnsi="Arial"/>
          <w:b/>
          <w:sz w:val="16"/>
        </w:rPr>
        <w:t>Contact</w:t>
      </w:r>
    </w:p>
    <w:p w:rsidR="00BF22AC" w:rsidRDefault="00BF22AC" w:rsidP="00BF22AC">
      <w:pPr>
        <w:pStyle w:val="Kopfzeile"/>
        <w:ind w:left="709"/>
        <w:jc w:val="both"/>
        <w:rPr>
          <w:rFonts w:ascii="Arial" w:hAnsi="Arial"/>
          <w:sz w:val="16"/>
        </w:rPr>
      </w:pPr>
    </w:p>
    <w:p w:rsidR="00BF22AC" w:rsidRDefault="00BF22AC" w:rsidP="00BF22AC">
      <w:pPr>
        <w:pStyle w:val="Kopfzeile"/>
        <w:ind w:left="709"/>
        <w:jc w:val="both"/>
        <w:rPr>
          <w:rFonts w:ascii="Arial" w:hAnsi="Arial"/>
          <w:sz w:val="16"/>
        </w:rPr>
      </w:pPr>
      <w:r>
        <w:rPr>
          <w:rFonts w:ascii="Arial" w:hAnsi="Arial"/>
          <w:sz w:val="16"/>
        </w:rPr>
        <w:t>Dr Kay Rathke</w:t>
      </w:r>
    </w:p>
    <w:p w:rsidR="00BF22AC" w:rsidRDefault="00BF22AC" w:rsidP="00BF22AC">
      <w:pPr>
        <w:pStyle w:val="Kopfzeile"/>
        <w:ind w:left="709"/>
        <w:jc w:val="both"/>
        <w:rPr>
          <w:rFonts w:ascii="Arial" w:hAnsi="Arial"/>
          <w:sz w:val="16"/>
        </w:rPr>
      </w:pPr>
      <w:r>
        <w:rPr>
          <w:rFonts w:ascii="Arial" w:hAnsi="Arial"/>
          <w:sz w:val="16"/>
        </w:rPr>
        <w:t>Head of Investor Relations</w:t>
      </w:r>
    </w:p>
    <w:p w:rsidR="00BF22AC" w:rsidRDefault="00BF22AC" w:rsidP="00BF22AC">
      <w:pPr>
        <w:pStyle w:val="Kopfzeile"/>
        <w:ind w:left="709"/>
        <w:jc w:val="both"/>
        <w:rPr>
          <w:rFonts w:ascii="Arial" w:hAnsi="Arial"/>
          <w:sz w:val="16"/>
        </w:rPr>
      </w:pPr>
    </w:p>
    <w:p w:rsidR="00BF22AC" w:rsidRPr="001A6C14" w:rsidRDefault="00BF22AC" w:rsidP="00BF22AC">
      <w:pPr>
        <w:pStyle w:val="Kopfzeile"/>
        <w:ind w:left="709"/>
        <w:jc w:val="both"/>
        <w:outlineLvl w:val="0"/>
        <w:rPr>
          <w:rFonts w:ascii="Arial" w:hAnsi="Arial"/>
          <w:sz w:val="16"/>
        </w:rPr>
      </w:pPr>
      <w:r>
        <w:rPr>
          <w:rFonts w:ascii="Arial" w:hAnsi="Arial"/>
          <w:sz w:val="16"/>
        </w:rPr>
        <w:lastRenderedPageBreak/>
        <w:t>Patrick Franitza</w:t>
      </w:r>
    </w:p>
    <w:p w:rsidR="00BF22AC" w:rsidRPr="001A6C14" w:rsidRDefault="00BF22AC" w:rsidP="00BF22AC">
      <w:pPr>
        <w:pStyle w:val="Kopfzeile"/>
        <w:ind w:left="709"/>
        <w:jc w:val="both"/>
        <w:rPr>
          <w:rFonts w:ascii="Arial" w:hAnsi="Arial"/>
          <w:sz w:val="16"/>
        </w:rPr>
      </w:pPr>
      <w:r>
        <w:rPr>
          <w:rFonts w:ascii="Arial" w:hAnsi="Arial"/>
          <w:sz w:val="16"/>
        </w:rPr>
        <w:t>Press Spokesman</w:t>
      </w:r>
    </w:p>
    <w:p w:rsidR="00BF22AC" w:rsidRPr="00D46F52" w:rsidRDefault="00BF22AC" w:rsidP="00BF22AC">
      <w:pPr>
        <w:pStyle w:val="Kopfzeile"/>
        <w:ind w:left="709"/>
        <w:jc w:val="both"/>
        <w:rPr>
          <w:rFonts w:ascii="Arial" w:hAnsi="Arial"/>
          <w:sz w:val="16"/>
        </w:rPr>
      </w:pPr>
    </w:p>
    <w:p w:rsidR="00BF22AC" w:rsidRPr="00D46F52" w:rsidRDefault="00BF22AC" w:rsidP="00BF22AC">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BF22AC" w:rsidRPr="00C303DD" w:rsidRDefault="00BF22AC" w:rsidP="00BF22AC">
      <w:pPr>
        <w:pStyle w:val="Kopfzeile"/>
        <w:ind w:left="709"/>
        <w:jc w:val="both"/>
        <w:rPr>
          <w:rFonts w:ascii="Arial" w:hAnsi="Arial"/>
          <w:sz w:val="16"/>
          <w:lang w:val="de-DE"/>
        </w:rPr>
      </w:pPr>
      <w:proofErr w:type="spellStart"/>
      <w:r w:rsidRPr="00C303DD">
        <w:rPr>
          <w:rFonts w:ascii="Arial" w:hAnsi="Arial"/>
          <w:sz w:val="16"/>
          <w:lang w:val="de-DE"/>
        </w:rPr>
        <w:t>Kurfürstenstrasse</w:t>
      </w:r>
      <w:proofErr w:type="spellEnd"/>
      <w:r w:rsidRPr="00C303DD">
        <w:rPr>
          <w:rFonts w:ascii="Arial" w:hAnsi="Arial"/>
          <w:sz w:val="16"/>
          <w:lang w:val="de-DE"/>
        </w:rPr>
        <w:t xml:space="preserve"> 58</w:t>
      </w:r>
    </w:p>
    <w:p w:rsidR="00BF22AC" w:rsidRPr="00C303DD" w:rsidRDefault="00BF22AC" w:rsidP="00BF22AC">
      <w:pPr>
        <w:pStyle w:val="Kopfzeile"/>
        <w:ind w:left="709"/>
        <w:jc w:val="both"/>
        <w:rPr>
          <w:rFonts w:ascii="Arial" w:hAnsi="Arial"/>
          <w:sz w:val="16"/>
          <w:lang w:val="de-DE"/>
        </w:rPr>
      </w:pPr>
      <w:r w:rsidRPr="00C303DD">
        <w:rPr>
          <w:rFonts w:ascii="Arial" w:hAnsi="Arial"/>
          <w:sz w:val="16"/>
          <w:lang w:val="de-DE"/>
        </w:rPr>
        <w:t>45138 Essen, Germany</w:t>
      </w:r>
    </w:p>
    <w:p w:rsidR="00BF22AC" w:rsidRPr="00C303DD" w:rsidRDefault="00BF22AC" w:rsidP="00BF22AC">
      <w:pPr>
        <w:pStyle w:val="Kopfzeile"/>
        <w:ind w:left="709"/>
        <w:jc w:val="both"/>
        <w:rPr>
          <w:rFonts w:ascii="Arial" w:hAnsi="Arial"/>
          <w:sz w:val="16"/>
          <w:lang w:val="de-DE"/>
        </w:rPr>
      </w:pPr>
      <w:r w:rsidRPr="00C303DD">
        <w:rPr>
          <w:rFonts w:ascii="Arial" w:hAnsi="Arial"/>
          <w:sz w:val="16"/>
          <w:lang w:val="de-DE"/>
        </w:rPr>
        <w:t>Phone: +49 201 5454 1234</w:t>
      </w:r>
    </w:p>
    <w:p w:rsidR="00BF22AC" w:rsidRPr="00C303DD" w:rsidRDefault="00BF22AC" w:rsidP="00BF22AC">
      <w:pPr>
        <w:pStyle w:val="Kopfzeile"/>
        <w:ind w:left="709"/>
        <w:jc w:val="both"/>
        <w:rPr>
          <w:rFonts w:ascii="Arial" w:hAnsi="Arial"/>
          <w:sz w:val="16"/>
          <w:lang w:val="de-DE"/>
        </w:rPr>
      </w:pPr>
      <w:r w:rsidRPr="00C303DD">
        <w:rPr>
          <w:rFonts w:ascii="Arial" w:hAnsi="Arial"/>
          <w:sz w:val="16"/>
          <w:lang w:val="de-DE"/>
        </w:rPr>
        <w:t>Fax: +49 201 5454 1235</w:t>
      </w:r>
    </w:p>
    <w:p w:rsidR="00BF22AC" w:rsidRPr="00C303DD" w:rsidRDefault="00BF22AC" w:rsidP="00BF22AC">
      <w:pPr>
        <w:pStyle w:val="Kopfzeile"/>
        <w:ind w:left="709"/>
        <w:jc w:val="both"/>
        <w:outlineLvl w:val="0"/>
        <w:rPr>
          <w:rFonts w:ascii="Arial" w:hAnsi="Arial"/>
          <w:sz w:val="16"/>
          <w:lang w:val="de-DE"/>
        </w:rPr>
      </w:pPr>
      <w:proofErr w:type="spellStart"/>
      <w:r w:rsidRPr="00C303DD">
        <w:rPr>
          <w:rFonts w:ascii="Arial" w:hAnsi="Arial"/>
          <w:sz w:val="16"/>
          <w:lang w:val="de-DE"/>
        </w:rPr>
        <w:t>e-mail</w:t>
      </w:r>
      <w:proofErr w:type="spellEnd"/>
      <w:r w:rsidRPr="00C303DD">
        <w:rPr>
          <w:rFonts w:ascii="Arial" w:hAnsi="Arial"/>
          <w:sz w:val="16"/>
          <w:lang w:val="de-DE"/>
        </w:rPr>
        <w:t>: </w:t>
      </w:r>
      <w:hyperlink r:id="rId10" w:history="1">
        <w:r w:rsidRPr="00C303DD">
          <w:rPr>
            <w:rStyle w:val="Hyperlink"/>
            <w:rFonts w:ascii="Arial" w:hAnsi="Arial"/>
            <w:sz w:val="16"/>
            <w:lang w:val="de-DE"/>
          </w:rPr>
          <w:t>presse@secunet.com</w:t>
        </w:r>
      </w:hyperlink>
    </w:p>
    <w:p w:rsidR="00BF22AC" w:rsidRPr="00C303DD" w:rsidRDefault="00C303DD" w:rsidP="00BF22AC">
      <w:pPr>
        <w:pStyle w:val="Kopfzeile"/>
        <w:ind w:left="709"/>
        <w:jc w:val="both"/>
        <w:rPr>
          <w:rFonts w:ascii="Arial" w:hAnsi="Arial"/>
          <w:sz w:val="16"/>
          <w:lang w:val="de-DE"/>
        </w:rPr>
      </w:pPr>
      <w:hyperlink r:id="rId11" w:history="1">
        <w:r w:rsidR="00C44E5F" w:rsidRPr="00C303DD">
          <w:rPr>
            <w:rStyle w:val="Hyperlink"/>
            <w:rFonts w:ascii="Arial" w:hAnsi="Arial"/>
            <w:sz w:val="16"/>
            <w:lang w:val="de-DE"/>
          </w:rPr>
          <w:t>http://www.secunet.com</w:t>
        </w:r>
      </w:hyperlink>
    </w:p>
    <w:p w:rsidR="00BF22AC" w:rsidRPr="00C303DD" w:rsidRDefault="00BF22AC" w:rsidP="00BF22AC">
      <w:pPr>
        <w:pStyle w:val="Kopfzeile"/>
        <w:ind w:left="709"/>
        <w:jc w:val="both"/>
        <w:rPr>
          <w:rFonts w:ascii="Arial" w:hAnsi="Arial"/>
          <w:sz w:val="16"/>
          <w:lang w:val="de-DE"/>
        </w:rPr>
      </w:pPr>
    </w:p>
    <w:p w:rsidR="00BF22AC" w:rsidRPr="00C303DD" w:rsidRDefault="00BF22AC" w:rsidP="00BF22AC">
      <w:pPr>
        <w:pStyle w:val="Kopfzeile"/>
        <w:tabs>
          <w:tab w:val="clear" w:pos="4536"/>
          <w:tab w:val="clear" w:pos="9072"/>
        </w:tabs>
        <w:ind w:left="709" w:right="-2"/>
        <w:jc w:val="both"/>
        <w:rPr>
          <w:rFonts w:ascii="Arial" w:hAnsi="Arial"/>
          <w:b/>
          <w:sz w:val="16"/>
          <w:lang w:val="de-DE"/>
        </w:rPr>
      </w:pPr>
    </w:p>
    <w:p w:rsidR="00BF22AC" w:rsidRDefault="00BF22AC" w:rsidP="00BF22AC">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BF22AC" w:rsidRDefault="00BF22AC" w:rsidP="00BF22AC">
      <w:pPr>
        <w:pStyle w:val="Kopfzeile"/>
        <w:tabs>
          <w:tab w:val="clear" w:pos="4536"/>
          <w:tab w:val="clear" w:pos="9072"/>
        </w:tabs>
        <w:ind w:left="709" w:right="-2"/>
        <w:jc w:val="both"/>
        <w:rPr>
          <w:rFonts w:ascii="Arial" w:hAnsi="Arial"/>
          <w:sz w:val="16"/>
        </w:rPr>
      </w:pPr>
    </w:p>
    <w:p w:rsidR="00BF22AC" w:rsidRPr="008A5758" w:rsidRDefault="00BF22AC" w:rsidP="00BF22AC">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Over 600 experts work in the areas of cryptography, e-government, business security and automotive security, developing innovative products and highly secure, trustworthy solutions. </w:t>
      </w:r>
      <w:proofErr w:type="gramStart"/>
      <w:r>
        <w:rPr>
          <w:rFonts w:ascii="Arial" w:hAnsi="Arial"/>
          <w:sz w:val="16"/>
          <w:szCs w:val="16"/>
        </w:rPr>
        <w:t>secunet</w:t>
      </w:r>
      <w:proofErr w:type="gramEnd"/>
      <w:r>
        <w:rPr>
          <w:rFonts w:ascii="Arial" w:hAnsi="Arial"/>
          <w:sz w:val="16"/>
          <w:szCs w:val="16"/>
        </w:rPr>
        <w:t xml:space="preserve"> has more than 500 national and international customers, including many DAX-listed companies, public authorities and organisations. The company is an IT security partner to the Federal Republic of Germany and a partner of the German Alliance for Cyber Security. </w:t>
      </w:r>
    </w:p>
    <w:p w:rsidR="00BF22AC" w:rsidRDefault="00BF22AC" w:rsidP="00BF22AC">
      <w:pPr>
        <w:ind w:left="697"/>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226.9 million euros in 2019.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BF22AC" w:rsidRPr="008A5758" w:rsidRDefault="00BF22AC" w:rsidP="00BF22AC">
      <w:pPr>
        <w:ind w:left="697"/>
        <w:jc w:val="both"/>
        <w:rPr>
          <w:rFonts w:ascii="Arial" w:hAnsi="Arial" w:cs="Arial"/>
          <w:sz w:val="16"/>
          <w:szCs w:val="16"/>
        </w:rPr>
      </w:pPr>
    </w:p>
    <w:p w:rsidR="00BF22AC" w:rsidRPr="00C36FB4" w:rsidRDefault="00BF22AC" w:rsidP="00BF22AC">
      <w:pPr>
        <w:ind w:left="697"/>
        <w:jc w:val="both"/>
        <w:rPr>
          <w:rFonts w:ascii="Arial" w:hAnsi="Arial"/>
          <w:i/>
          <w:sz w:val="16"/>
        </w:rPr>
      </w:pPr>
      <w:r>
        <w:rPr>
          <w:rFonts w:ascii="Arial" w:hAnsi="Arial"/>
          <w:i/>
          <w:sz w:val="16"/>
        </w:rPr>
        <w:t xml:space="preserve">Further information can be found at </w:t>
      </w:r>
      <w:hyperlink r:id="rId12" w:history="1">
        <w:r>
          <w:rPr>
            <w:rStyle w:val="Hyperlink"/>
            <w:rFonts w:ascii="Arial" w:hAnsi="Arial"/>
            <w:i/>
            <w:color w:val="auto"/>
            <w:sz w:val="16"/>
          </w:rPr>
          <w:t>www.secunet.com</w:t>
        </w:r>
      </w:hyperlink>
      <w:r>
        <w:rPr>
          <w:rFonts w:ascii="Arial" w:hAnsi="Arial"/>
          <w:i/>
          <w:sz w:val="16"/>
        </w:rPr>
        <w:t>.</w:t>
      </w:r>
    </w:p>
    <w:p w:rsidR="00BF22AC" w:rsidRPr="006A77C8" w:rsidRDefault="00BF22AC" w:rsidP="00BF22AC">
      <w:pPr>
        <w:ind w:left="708"/>
        <w:rPr>
          <w:rFonts w:ascii="Arial" w:hAnsi="Arial" w:cs="Arial"/>
          <w:b/>
          <w:sz w:val="16"/>
          <w:szCs w:val="16"/>
        </w:rPr>
      </w:pPr>
    </w:p>
    <w:p w:rsidR="00BF22AC" w:rsidRPr="006A77C8" w:rsidRDefault="00BF22AC" w:rsidP="00BF22AC">
      <w:pPr>
        <w:ind w:left="708"/>
        <w:rPr>
          <w:rFonts w:ascii="Arial" w:hAnsi="Arial" w:cs="Arial"/>
          <w:b/>
          <w:sz w:val="16"/>
          <w:szCs w:val="16"/>
        </w:rPr>
      </w:pPr>
    </w:p>
    <w:p w:rsidR="00BF22AC" w:rsidRPr="006A77C8" w:rsidRDefault="00BF22AC" w:rsidP="00BF22AC">
      <w:pPr>
        <w:ind w:left="708"/>
        <w:rPr>
          <w:rFonts w:ascii="Arial" w:hAnsi="Arial" w:cs="Arial"/>
          <w:b/>
          <w:sz w:val="16"/>
          <w:szCs w:val="16"/>
        </w:rPr>
      </w:pPr>
    </w:p>
    <w:p w:rsidR="00BF22AC" w:rsidRPr="00D46F52" w:rsidRDefault="00BF22AC" w:rsidP="00BF22AC">
      <w:pPr>
        <w:ind w:left="708"/>
        <w:rPr>
          <w:rFonts w:ascii="Arial" w:hAnsi="Arial" w:cs="Arial"/>
          <w:b/>
          <w:i/>
          <w:sz w:val="16"/>
          <w:szCs w:val="16"/>
        </w:rPr>
      </w:pPr>
      <w:r>
        <w:rPr>
          <w:rFonts w:ascii="Arial" w:hAnsi="Arial"/>
          <w:b/>
          <w:i/>
          <w:sz w:val="16"/>
          <w:szCs w:val="16"/>
        </w:rPr>
        <w:t>Disclaimer</w:t>
      </w:r>
    </w:p>
    <w:p w:rsidR="00BF22AC" w:rsidRDefault="00BF22AC" w:rsidP="00BF22AC">
      <w:pPr>
        <w:ind w:left="708"/>
        <w:jc w:val="both"/>
        <w:rPr>
          <w:rFonts w:ascii="Arial" w:hAnsi="Arial" w:cs="Arial"/>
          <w:i/>
          <w:sz w:val="16"/>
          <w:szCs w:val="16"/>
          <w:lang w:val="da-DK"/>
        </w:rPr>
      </w:pPr>
    </w:p>
    <w:p w:rsidR="00BF22AC" w:rsidRPr="00BD1A88" w:rsidRDefault="00BF22AC" w:rsidP="00BF22AC">
      <w:pPr>
        <w:ind w:left="708"/>
        <w:jc w:val="both"/>
        <w:rPr>
          <w:rFonts w:ascii="Arial" w:hAnsi="Arial" w:cs="Arial"/>
          <w:i/>
          <w:sz w:val="16"/>
          <w:szCs w:val="16"/>
        </w:rPr>
      </w:pPr>
      <w:r>
        <w:rPr>
          <w:rFonts w:ascii="Arial" w:hAnsi="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p w:rsidR="008877F8" w:rsidRPr="00BD1A88" w:rsidRDefault="008877F8" w:rsidP="00BF22AC">
      <w:pPr>
        <w:ind w:left="708"/>
        <w:outlineLvl w:val="0"/>
        <w:rPr>
          <w:rFonts w:ascii="Arial" w:hAnsi="Arial" w:cs="Arial"/>
          <w:i/>
          <w:sz w:val="16"/>
          <w:szCs w:val="16"/>
          <w:lang w:val="da-DK"/>
        </w:rPr>
      </w:pPr>
    </w:p>
    <w:sectPr w:rsidR="008877F8"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C303DD">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C303DD">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27C03951" wp14:editId="14639CD7">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4C84915D" wp14:editId="14C96B8A">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60800" behindDoc="0" locked="0" layoutInCell="1" allowOverlap="1" wp14:anchorId="0E2F3CF1" wp14:editId="454198AE">
          <wp:simplePos x="0" y="0"/>
          <wp:positionH relativeFrom="column">
            <wp:posOffset>5236845</wp:posOffset>
          </wp:positionH>
          <wp:positionV relativeFrom="paragraph">
            <wp:posOffset>447675</wp:posOffset>
          </wp:positionV>
          <wp:extent cx="1127760" cy="19177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rPr>
      <w:drawing>
        <wp:inline distT="0" distB="0" distL="0" distR="0" wp14:anchorId="67D54582" wp14:editId="7BD86B9B">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62836AB"/>
    <w:multiLevelType w:val="hybridMultilevel"/>
    <w:tmpl w:val="17BCE85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1"/>
  </w:num>
  <w:num w:numId="3">
    <w:abstractNumId w:val="7"/>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1"/>
  </w:num>
  <w:num w:numId="12">
    <w:abstractNumId w:val="23"/>
  </w:num>
  <w:num w:numId="13">
    <w:abstractNumId w:val="10"/>
  </w:num>
  <w:num w:numId="14">
    <w:abstractNumId w:val="12"/>
  </w:num>
  <w:num w:numId="15">
    <w:abstractNumId w:val="15"/>
  </w:num>
  <w:num w:numId="16">
    <w:abstractNumId w:val="5"/>
  </w:num>
  <w:num w:numId="17">
    <w:abstractNumId w:val="18"/>
  </w:num>
  <w:num w:numId="18">
    <w:abstractNumId w:val="9"/>
  </w:num>
  <w:num w:numId="19">
    <w:abstractNumId w:val="2"/>
  </w:num>
  <w:num w:numId="20">
    <w:abstractNumId w:val="16"/>
  </w:num>
  <w:num w:numId="21">
    <w:abstractNumId w:val="8"/>
  </w:num>
  <w:num w:numId="22">
    <w:abstractNumId w:val="4"/>
  </w:num>
  <w:num w:numId="23">
    <w:abstractNumId w:val="1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01E4"/>
    <w:rsid w:val="0002702F"/>
    <w:rsid w:val="0003690E"/>
    <w:rsid w:val="00036D1C"/>
    <w:rsid w:val="00047F57"/>
    <w:rsid w:val="000555BE"/>
    <w:rsid w:val="00056699"/>
    <w:rsid w:val="00070E91"/>
    <w:rsid w:val="000C2B19"/>
    <w:rsid w:val="000D0B22"/>
    <w:rsid w:val="000E6FE7"/>
    <w:rsid w:val="000F4424"/>
    <w:rsid w:val="001075C5"/>
    <w:rsid w:val="00112D23"/>
    <w:rsid w:val="0011530A"/>
    <w:rsid w:val="00117B4A"/>
    <w:rsid w:val="001249CD"/>
    <w:rsid w:val="00130C10"/>
    <w:rsid w:val="00133C4F"/>
    <w:rsid w:val="001404C4"/>
    <w:rsid w:val="001433E3"/>
    <w:rsid w:val="0015116B"/>
    <w:rsid w:val="00163A08"/>
    <w:rsid w:val="00195108"/>
    <w:rsid w:val="001B0047"/>
    <w:rsid w:val="001E7B28"/>
    <w:rsid w:val="001E7F35"/>
    <w:rsid w:val="001F0C6F"/>
    <w:rsid w:val="001F70FA"/>
    <w:rsid w:val="002045A4"/>
    <w:rsid w:val="00211508"/>
    <w:rsid w:val="00227903"/>
    <w:rsid w:val="00227CF5"/>
    <w:rsid w:val="00230C2C"/>
    <w:rsid w:val="00233340"/>
    <w:rsid w:val="00243467"/>
    <w:rsid w:val="002459FF"/>
    <w:rsid w:val="002548A9"/>
    <w:rsid w:val="00255438"/>
    <w:rsid w:val="0027167D"/>
    <w:rsid w:val="00275A6D"/>
    <w:rsid w:val="00293DC8"/>
    <w:rsid w:val="002976D1"/>
    <w:rsid w:val="00297891"/>
    <w:rsid w:val="002A6536"/>
    <w:rsid w:val="002B544D"/>
    <w:rsid w:val="002B6ED4"/>
    <w:rsid w:val="002C431F"/>
    <w:rsid w:val="002E2419"/>
    <w:rsid w:val="002F7350"/>
    <w:rsid w:val="00302BC0"/>
    <w:rsid w:val="003124BB"/>
    <w:rsid w:val="00327AD2"/>
    <w:rsid w:val="00340127"/>
    <w:rsid w:val="00345097"/>
    <w:rsid w:val="00370E4A"/>
    <w:rsid w:val="00384802"/>
    <w:rsid w:val="003A2B5B"/>
    <w:rsid w:val="003B5822"/>
    <w:rsid w:val="003C3AED"/>
    <w:rsid w:val="003D0DA0"/>
    <w:rsid w:val="003E446B"/>
    <w:rsid w:val="003F0FE4"/>
    <w:rsid w:val="004144F5"/>
    <w:rsid w:val="0041460F"/>
    <w:rsid w:val="0043552B"/>
    <w:rsid w:val="00440BD5"/>
    <w:rsid w:val="00456FA4"/>
    <w:rsid w:val="00486F57"/>
    <w:rsid w:val="0048716D"/>
    <w:rsid w:val="004923B4"/>
    <w:rsid w:val="00497979"/>
    <w:rsid w:val="004A0F46"/>
    <w:rsid w:val="004A6854"/>
    <w:rsid w:val="004B4387"/>
    <w:rsid w:val="004C3844"/>
    <w:rsid w:val="005008CC"/>
    <w:rsid w:val="00520BBB"/>
    <w:rsid w:val="0052247A"/>
    <w:rsid w:val="00523365"/>
    <w:rsid w:val="0053680D"/>
    <w:rsid w:val="00544113"/>
    <w:rsid w:val="00553784"/>
    <w:rsid w:val="0055390E"/>
    <w:rsid w:val="005603FF"/>
    <w:rsid w:val="005845A0"/>
    <w:rsid w:val="005B1F3F"/>
    <w:rsid w:val="005B2813"/>
    <w:rsid w:val="005B3F20"/>
    <w:rsid w:val="005B7312"/>
    <w:rsid w:val="005C1C5F"/>
    <w:rsid w:val="005E069A"/>
    <w:rsid w:val="005E07FC"/>
    <w:rsid w:val="005F42E9"/>
    <w:rsid w:val="005F5428"/>
    <w:rsid w:val="005F5E88"/>
    <w:rsid w:val="005F635B"/>
    <w:rsid w:val="0060188C"/>
    <w:rsid w:val="00602B86"/>
    <w:rsid w:val="006061CD"/>
    <w:rsid w:val="006068C1"/>
    <w:rsid w:val="00616166"/>
    <w:rsid w:val="006278EC"/>
    <w:rsid w:val="00627946"/>
    <w:rsid w:val="006338C8"/>
    <w:rsid w:val="0063488D"/>
    <w:rsid w:val="00641AE0"/>
    <w:rsid w:val="00676CAA"/>
    <w:rsid w:val="006877AA"/>
    <w:rsid w:val="006952ED"/>
    <w:rsid w:val="006A44F8"/>
    <w:rsid w:val="006A77C8"/>
    <w:rsid w:val="006B303A"/>
    <w:rsid w:val="006C2A0A"/>
    <w:rsid w:val="006C7756"/>
    <w:rsid w:val="006C7FE7"/>
    <w:rsid w:val="006E75FF"/>
    <w:rsid w:val="00725F5A"/>
    <w:rsid w:val="00741A4E"/>
    <w:rsid w:val="007505DB"/>
    <w:rsid w:val="00753488"/>
    <w:rsid w:val="00755F45"/>
    <w:rsid w:val="0076251C"/>
    <w:rsid w:val="00762F43"/>
    <w:rsid w:val="00772F37"/>
    <w:rsid w:val="00773C43"/>
    <w:rsid w:val="0078003E"/>
    <w:rsid w:val="00781FCE"/>
    <w:rsid w:val="007A03D5"/>
    <w:rsid w:val="007C2C01"/>
    <w:rsid w:val="007F6002"/>
    <w:rsid w:val="007F683E"/>
    <w:rsid w:val="00815BA0"/>
    <w:rsid w:val="0081682E"/>
    <w:rsid w:val="00816873"/>
    <w:rsid w:val="0082247B"/>
    <w:rsid w:val="008300E1"/>
    <w:rsid w:val="00852A06"/>
    <w:rsid w:val="0087418A"/>
    <w:rsid w:val="008877F8"/>
    <w:rsid w:val="008878D7"/>
    <w:rsid w:val="00894DF7"/>
    <w:rsid w:val="00895D74"/>
    <w:rsid w:val="008A7DFA"/>
    <w:rsid w:val="008C1149"/>
    <w:rsid w:val="008C280E"/>
    <w:rsid w:val="008D1F32"/>
    <w:rsid w:val="008D4276"/>
    <w:rsid w:val="008E063E"/>
    <w:rsid w:val="008E7A1D"/>
    <w:rsid w:val="008F6670"/>
    <w:rsid w:val="009013CE"/>
    <w:rsid w:val="00901EBF"/>
    <w:rsid w:val="009068BF"/>
    <w:rsid w:val="009225FC"/>
    <w:rsid w:val="009513E8"/>
    <w:rsid w:val="00951871"/>
    <w:rsid w:val="009605DB"/>
    <w:rsid w:val="00963B58"/>
    <w:rsid w:val="00966BC6"/>
    <w:rsid w:val="00997188"/>
    <w:rsid w:val="009B082D"/>
    <w:rsid w:val="009B7EF8"/>
    <w:rsid w:val="009C5940"/>
    <w:rsid w:val="009C5D01"/>
    <w:rsid w:val="009C6F1F"/>
    <w:rsid w:val="009E4CA0"/>
    <w:rsid w:val="00A061AF"/>
    <w:rsid w:val="00A164CA"/>
    <w:rsid w:val="00A3586E"/>
    <w:rsid w:val="00A372D9"/>
    <w:rsid w:val="00A4064F"/>
    <w:rsid w:val="00A54B8A"/>
    <w:rsid w:val="00A7718A"/>
    <w:rsid w:val="00A805BC"/>
    <w:rsid w:val="00A87661"/>
    <w:rsid w:val="00A87845"/>
    <w:rsid w:val="00A940AE"/>
    <w:rsid w:val="00A95CE8"/>
    <w:rsid w:val="00AA0E95"/>
    <w:rsid w:val="00AA3C26"/>
    <w:rsid w:val="00AB6522"/>
    <w:rsid w:val="00AC5EB0"/>
    <w:rsid w:val="00AC6D4A"/>
    <w:rsid w:val="00AD2588"/>
    <w:rsid w:val="00AD7DC7"/>
    <w:rsid w:val="00AE053A"/>
    <w:rsid w:val="00AE1A2F"/>
    <w:rsid w:val="00AF17A9"/>
    <w:rsid w:val="00B0272C"/>
    <w:rsid w:val="00B102E4"/>
    <w:rsid w:val="00B1339F"/>
    <w:rsid w:val="00B27815"/>
    <w:rsid w:val="00B34139"/>
    <w:rsid w:val="00B35383"/>
    <w:rsid w:val="00B50389"/>
    <w:rsid w:val="00B517AE"/>
    <w:rsid w:val="00B52B9F"/>
    <w:rsid w:val="00B65B1F"/>
    <w:rsid w:val="00B734E1"/>
    <w:rsid w:val="00B74A6D"/>
    <w:rsid w:val="00B8280C"/>
    <w:rsid w:val="00B85456"/>
    <w:rsid w:val="00B86465"/>
    <w:rsid w:val="00B95843"/>
    <w:rsid w:val="00BA519E"/>
    <w:rsid w:val="00BB39E5"/>
    <w:rsid w:val="00BC4024"/>
    <w:rsid w:val="00BC6ECB"/>
    <w:rsid w:val="00BE42B0"/>
    <w:rsid w:val="00BF1947"/>
    <w:rsid w:val="00BF22AC"/>
    <w:rsid w:val="00C003D0"/>
    <w:rsid w:val="00C17202"/>
    <w:rsid w:val="00C23944"/>
    <w:rsid w:val="00C2721E"/>
    <w:rsid w:val="00C303DD"/>
    <w:rsid w:val="00C34ED4"/>
    <w:rsid w:val="00C421AD"/>
    <w:rsid w:val="00C421CE"/>
    <w:rsid w:val="00C44E5F"/>
    <w:rsid w:val="00C46CAD"/>
    <w:rsid w:val="00C61389"/>
    <w:rsid w:val="00C62781"/>
    <w:rsid w:val="00C73631"/>
    <w:rsid w:val="00C84353"/>
    <w:rsid w:val="00C86F59"/>
    <w:rsid w:val="00C93B49"/>
    <w:rsid w:val="00CB58B4"/>
    <w:rsid w:val="00CB5FD7"/>
    <w:rsid w:val="00CC7756"/>
    <w:rsid w:val="00CD08B3"/>
    <w:rsid w:val="00CD1543"/>
    <w:rsid w:val="00CF245E"/>
    <w:rsid w:val="00D46F52"/>
    <w:rsid w:val="00D46FDB"/>
    <w:rsid w:val="00D50F10"/>
    <w:rsid w:val="00D51FAC"/>
    <w:rsid w:val="00D612F2"/>
    <w:rsid w:val="00D668B0"/>
    <w:rsid w:val="00D72264"/>
    <w:rsid w:val="00D869EC"/>
    <w:rsid w:val="00D870FE"/>
    <w:rsid w:val="00D94F3B"/>
    <w:rsid w:val="00DA4BFB"/>
    <w:rsid w:val="00DA5758"/>
    <w:rsid w:val="00DC3650"/>
    <w:rsid w:val="00DD2F97"/>
    <w:rsid w:val="00E15B32"/>
    <w:rsid w:val="00E4091F"/>
    <w:rsid w:val="00E45F30"/>
    <w:rsid w:val="00E53961"/>
    <w:rsid w:val="00E5640B"/>
    <w:rsid w:val="00E56F81"/>
    <w:rsid w:val="00E619DD"/>
    <w:rsid w:val="00E6245A"/>
    <w:rsid w:val="00E62AB2"/>
    <w:rsid w:val="00E83A44"/>
    <w:rsid w:val="00E95DBD"/>
    <w:rsid w:val="00EA6663"/>
    <w:rsid w:val="00EA6FC6"/>
    <w:rsid w:val="00EA7851"/>
    <w:rsid w:val="00EB7AEA"/>
    <w:rsid w:val="00EC083C"/>
    <w:rsid w:val="00EC13AF"/>
    <w:rsid w:val="00EC6C28"/>
    <w:rsid w:val="00EE62C0"/>
    <w:rsid w:val="00EE7750"/>
    <w:rsid w:val="00EF4B33"/>
    <w:rsid w:val="00EF7865"/>
    <w:rsid w:val="00F22252"/>
    <w:rsid w:val="00F23436"/>
    <w:rsid w:val="00F273AE"/>
    <w:rsid w:val="00F30038"/>
    <w:rsid w:val="00F3121E"/>
    <w:rsid w:val="00F34A37"/>
    <w:rsid w:val="00F357D7"/>
    <w:rsid w:val="00F50BE0"/>
    <w:rsid w:val="00F56F39"/>
    <w:rsid w:val="00F6657E"/>
    <w:rsid w:val="00F725D4"/>
    <w:rsid w:val="00F72FF4"/>
    <w:rsid w:val="00F73C27"/>
    <w:rsid w:val="00F7408E"/>
    <w:rsid w:val="00F91BB7"/>
    <w:rsid w:val="00F92171"/>
    <w:rsid w:val="00F97BD3"/>
    <w:rsid w:val="00FC48A1"/>
    <w:rsid w:val="00FD6ED6"/>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230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230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0176">
      <w:bodyDiv w:val="1"/>
      <w:marLeft w:val="0"/>
      <w:marRight w:val="0"/>
      <w:marTop w:val="0"/>
      <w:marBottom w:val="0"/>
      <w:divBdr>
        <w:top w:val="none" w:sz="0" w:space="0" w:color="auto"/>
        <w:left w:val="none" w:sz="0" w:space="0" w:color="auto"/>
        <w:bottom w:val="none" w:sz="0" w:space="0" w:color="auto"/>
        <w:right w:val="none" w:sz="0" w:space="0" w:color="auto"/>
      </w:divBdr>
    </w:div>
    <w:div w:id="1122267882">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651246613">
      <w:bodyDiv w:val="1"/>
      <w:marLeft w:val="0"/>
      <w:marRight w:val="0"/>
      <w:marTop w:val="0"/>
      <w:marBottom w:val="0"/>
      <w:divBdr>
        <w:top w:val="none" w:sz="0" w:space="0" w:color="auto"/>
        <w:left w:val="none" w:sz="0" w:space="0" w:color="auto"/>
        <w:bottom w:val="none" w:sz="0" w:space="0" w:color="auto"/>
        <w:right w:val="none" w:sz="0" w:space="0" w:color="auto"/>
      </w:divBdr>
    </w:div>
    <w:div w:id="188293365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445E-5430-469E-A272-27F88558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5256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3</cp:revision>
  <cp:lastPrinted>2020-07-14T13:43:00Z</cp:lastPrinted>
  <dcterms:created xsi:type="dcterms:W3CDTF">2020-08-06T12:31:00Z</dcterms:created>
  <dcterms:modified xsi:type="dcterms:W3CDTF">2020-08-11T12:40:00Z</dcterms:modified>
</cp:coreProperties>
</file>