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rPr>
      </w:pPr>
      <w:bookmarkStart w:id="0" w:name="_GoBack"/>
      <w:bookmarkEnd w:id="0"/>
      <w:r>
        <w:rPr>
          <w:i/>
          <w:sz w:val="28"/>
          <w:szCs w:val="28"/>
        </w:rPr>
        <w:t>Inside Information according to Article 17 MAR</w:t>
      </w:r>
    </w:p>
    <w:p w:rsidR="00617E4D" w:rsidRPr="00017391" w:rsidRDefault="00017391" w:rsidP="00BB0077">
      <w:pPr>
        <w:spacing w:after="360"/>
        <w:ind w:left="697" w:right="-2"/>
        <w:rPr>
          <w:rFonts w:ascii="Arial" w:hAnsi="Arial"/>
          <w:b/>
          <w:sz w:val="32"/>
        </w:rPr>
      </w:pPr>
      <w:r>
        <w:rPr>
          <w:rFonts w:ascii="Arial" w:hAnsi="Arial"/>
          <w:b/>
          <w:sz w:val="32"/>
        </w:rPr>
        <w:t>secunet Security Networks AG raises its forecast for the 2017 financial year</w:t>
      </w:r>
    </w:p>
    <w:p w:rsidR="00017391" w:rsidRPr="004C1057" w:rsidRDefault="00A03E94" w:rsidP="00897440">
      <w:pPr>
        <w:spacing w:after="120" w:line="360" w:lineRule="auto"/>
        <w:ind w:left="697"/>
        <w:jc w:val="both"/>
        <w:rPr>
          <w:rFonts w:ascii="Arial" w:hAnsi="Arial"/>
          <w:sz w:val="22"/>
        </w:rPr>
      </w:pPr>
      <w:r>
        <w:rPr>
          <w:rFonts w:ascii="Arial" w:hAnsi="Arial"/>
          <w:i/>
          <w:sz w:val="22"/>
        </w:rPr>
        <w:t>[Essen, 14 June 2017]</w:t>
      </w:r>
      <w:r>
        <w:rPr>
          <w:rFonts w:ascii="Arial" w:hAnsi="Arial"/>
          <w:sz w:val="22"/>
        </w:rPr>
        <w:t xml:space="preserve"> Based on the figures for revenue and EBIT (earnings before interest and taxes) calculated at the end of May 2017 coupled with the existing order backlogs and sales opportunities, the Board of Management of secunet Security Networks AG has increased its forecast for financial year 2017. Previously the company expected revenue and EBIT to be slightly down year on year (</w:t>
      </w:r>
      <w:r w:rsidR="0028699E">
        <w:rPr>
          <w:rFonts w:ascii="Arial" w:hAnsi="Arial"/>
          <w:sz w:val="22"/>
        </w:rPr>
        <w:t xml:space="preserve">2016: </w:t>
      </w:r>
      <w:r>
        <w:rPr>
          <w:rFonts w:ascii="Arial" w:hAnsi="Arial"/>
          <w:sz w:val="22"/>
        </w:rPr>
        <w:t>revenue of 1</w:t>
      </w:r>
      <w:r w:rsidR="00554FC6">
        <w:rPr>
          <w:rFonts w:ascii="Arial" w:hAnsi="Arial"/>
          <w:sz w:val="22"/>
        </w:rPr>
        <w:t>15.7</w:t>
      </w:r>
      <w:r>
        <w:rPr>
          <w:rFonts w:ascii="Arial" w:hAnsi="Arial"/>
          <w:sz w:val="22"/>
        </w:rPr>
        <w:t xml:space="preserve"> million</w:t>
      </w:r>
      <w:r w:rsidR="0028699E">
        <w:rPr>
          <w:rFonts w:ascii="Arial" w:hAnsi="Arial"/>
          <w:sz w:val="22"/>
        </w:rPr>
        <w:t xml:space="preserve"> Euros</w:t>
      </w:r>
      <w:r>
        <w:rPr>
          <w:rFonts w:ascii="Arial" w:hAnsi="Arial"/>
          <w:sz w:val="22"/>
        </w:rPr>
        <w:t>, EBIT of 13.7 million</w:t>
      </w:r>
      <w:r w:rsidR="0028699E">
        <w:rPr>
          <w:rFonts w:ascii="Arial" w:hAnsi="Arial"/>
          <w:sz w:val="22"/>
        </w:rPr>
        <w:t xml:space="preserve"> Euros</w:t>
      </w:r>
      <w:r>
        <w:rPr>
          <w:rFonts w:ascii="Arial" w:hAnsi="Arial"/>
          <w:sz w:val="22"/>
        </w:rPr>
        <w:t xml:space="preserve">). However, a surge in orders from the defence sector has now prompted the Board of Management to project higher revenue of around 130 million </w:t>
      </w:r>
      <w:r w:rsidR="0028699E">
        <w:rPr>
          <w:rFonts w:ascii="Arial" w:hAnsi="Arial"/>
          <w:sz w:val="22"/>
        </w:rPr>
        <w:t xml:space="preserve">Euros </w:t>
      </w:r>
      <w:r>
        <w:rPr>
          <w:rFonts w:ascii="Arial" w:hAnsi="Arial"/>
          <w:sz w:val="22"/>
        </w:rPr>
        <w:t>with EBIT of around 18 million</w:t>
      </w:r>
      <w:r w:rsidR="0028699E">
        <w:rPr>
          <w:rFonts w:ascii="Arial" w:hAnsi="Arial"/>
          <w:sz w:val="22"/>
        </w:rPr>
        <w:t xml:space="preserve"> Euros</w:t>
      </w:r>
      <w:r>
        <w:rPr>
          <w:rFonts w:ascii="Arial" w:hAnsi="Arial"/>
          <w:sz w:val="22"/>
        </w:rPr>
        <w:t>.</w:t>
      </w:r>
    </w:p>
    <w:p w:rsidR="00897440" w:rsidRPr="004C1057" w:rsidRDefault="00897440" w:rsidP="00897440">
      <w:pPr>
        <w:spacing w:after="120" w:line="360" w:lineRule="auto"/>
        <w:ind w:left="697"/>
        <w:jc w:val="both"/>
        <w:rPr>
          <w:rFonts w:ascii="Arial" w:hAnsi="Arial"/>
          <w:sz w:val="22"/>
        </w:rPr>
      </w:pP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Contact:</w:t>
      </w: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secunet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1221</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E95064" w:rsidRDefault="00897440"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45138 Essen, Germany</w:t>
      </w:r>
    </w:p>
    <w:p w:rsidR="00897440" w:rsidRPr="00E95064" w:rsidRDefault="00897440" w:rsidP="007F7C4C">
      <w:pPr>
        <w:ind w:left="697" w:right="-2"/>
        <w:jc w:val="both"/>
        <w:rPr>
          <w:rFonts w:ascii="Arial" w:hAnsi="Arial"/>
          <w:color w:val="000000"/>
          <w:sz w:val="22"/>
          <w:szCs w:val="22"/>
          <w:lang w:val="de-DE"/>
        </w:rPr>
      </w:pPr>
    </w:p>
    <w:p w:rsidR="00897440" w:rsidRPr="00E95064" w:rsidRDefault="00897440"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ISIN: DE0007276503</w:t>
      </w:r>
    </w:p>
    <w:p w:rsidR="00897440" w:rsidRPr="00E95064" w:rsidRDefault="00897440"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rPr>
      </w:pPr>
      <w:r>
        <w:br w:type="page"/>
      </w:r>
      <w:r>
        <w:rPr>
          <w:rFonts w:ascii="Arial" w:hAnsi="Arial"/>
          <w:b/>
          <w:bCs/>
          <w:sz w:val="16"/>
          <w:szCs w:val="16"/>
        </w:rPr>
        <w:lastRenderedPageBreak/>
        <w:t>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rPr>
      </w:pPr>
    </w:p>
    <w:p w:rsidR="007F7C4C" w:rsidRPr="002B5223" w:rsidRDefault="00017391" w:rsidP="007F7C4C">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Georg Hasse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secunet Security Networks AG</w:t>
      </w:r>
    </w:p>
    <w:p w:rsidR="00794803" w:rsidRPr="00E95064"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E95064">
        <w:rPr>
          <w:rFonts w:ascii="Arial" w:hAnsi="Arial"/>
          <w:color w:val="000000"/>
          <w:sz w:val="16"/>
          <w:szCs w:val="16"/>
          <w:lang w:val="de-DE"/>
        </w:rPr>
        <w:t>Kurfürstenstraße 58</w:t>
      </w:r>
    </w:p>
    <w:p w:rsidR="00794803" w:rsidRPr="00E9506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E95064">
        <w:rPr>
          <w:rFonts w:ascii="Arial" w:hAnsi="Arial"/>
          <w:color w:val="000000"/>
          <w:sz w:val="16"/>
          <w:szCs w:val="16"/>
          <w:lang w:val="de-DE"/>
        </w:rPr>
        <w:t>45138 Essen, Germany</w:t>
      </w:r>
    </w:p>
    <w:p w:rsidR="00794803" w:rsidRPr="00E95064"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de-DE"/>
        </w:rPr>
      </w:pPr>
      <w:r w:rsidRPr="00E95064">
        <w:rPr>
          <w:rFonts w:ascii="Arial" w:hAnsi="Arial"/>
          <w:color w:val="000000"/>
          <w:sz w:val="16"/>
          <w:szCs w:val="16"/>
          <w:lang w:val="de-DE"/>
        </w:rPr>
        <w:t>Phone +49 201 54 54-1234</w:t>
      </w:r>
    </w:p>
    <w:p w:rsidR="00794803" w:rsidRPr="00E95064"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de-DE"/>
        </w:rPr>
      </w:pPr>
      <w:r w:rsidRPr="00E95064">
        <w:rPr>
          <w:rFonts w:ascii="Arial" w:hAnsi="Arial"/>
          <w:color w:val="000000"/>
          <w:sz w:val="16"/>
          <w:szCs w:val="16"/>
          <w:lang w:val="de-DE"/>
        </w:rPr>
        <w:t>Fax +49 201 54 54-1235</w:t>
      </w:r>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Pr>
          <w:rFonts w:ascii="Arial" w:hAnsi="Arial"/>
          <w:color w:val="000000"/>
          <w:sz w:val="16"/>
          <w:szCs w:val="16"/>
        </w:rPr>
        <w:t xml:space="preserve">Email:  </w:t>
      </w:r>
      <w:hyperlink r:id="rId9" w:history="1">
        <w:r>
          <w:rPr>
            <w:rStyle w:val="Hyperlink"/>
            <w:rFonts w:ascii="Arial" w:hAnsi="Arial"/>
            <w:sz w:val="16"/>
            <w:szCs w:val="16"/>
          </w:rPr>
          <w:t>investor.relations@secunet.com</w:t>
        </w:r>
      </w:hyperlink>
    </w:p>
    <w:p w:rsidR="00794803" w:rsidRPr="00AE531F" w:rsidRDefault="00AE0103" w:rsidP="00794803">
      <w:pPr>
        <w:ind w:left="708"/>
      </w:pPr>
      <w:hyperlink r:id="rId10" w:history="1">
        <w:r w:rsidR="004C1057">
          <w:rPr>
            <w:rStyle w:val="Hyperlink"/>
            <w:rFonts w:ascii="Arial" w:hAnsi="Arial"/>
            <w:sz w:val="16"/>
            <w:szCs w:val="16"/>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rPr>
      </w:pPr>
      <w:r>
        <w:rPr>
          <w:rFonts w:ascii="Arial" w:hAnsi="Arial"/>
          <w:b/>
          <w:bCs/>
          <w:sz w:val="16"/>
          <w:szCs w:val="16"/>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rPr>
      </w:pPr>
    </w:p>
    <w:p w:rsidR="004C1057" w:rsidRPr="004C1057" w:rsidRDefault="004C1057" w:rsidP="004C1057">
      <w:pPr>
        <w:ind w:left="709" w:hanging="12"/>
        <w:jc w:val="both"/>
        <w:rPr>
          <w:rFonts w:ascii="Arial" w:hAnsi="Arial" w:cs="Arial"/>
          <w:sz w:val="16"/>
          <w:szCs w:val="16"/>
        </w:rPr>
      </w:pPr>
      <w:r>
        <w:rPr>
          <w:rFonts w:ascii="Arial" w:hAnsi="Arial"/>
          <w:sz w:val="16"/>
          <w:szCs w:val="16"/>
        </w:rPr>
        <w:t>secunet is one of the leading German providers of high-quality IT security. Over 400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secunet was founded in 1997 and achieved revenues of 115.7 million euros in 2016. secunet Security Networks AG is listed on the Prime Standard of the German Stock Exchange.</w:t>
      </w:r>
    </w:p>
    <w:p w:rsidR="0091402E" w:rsidRPr="004C1057" w:rsidRDefault="0091402E" w:rsidP="00DA1E54">
      <w:pPr>
        <w:pStyle w:val="Kopfzeile"/>
        <w:tabs>
          <w:tab w:val="clear" w:pos="4536"/>
          <w:tab w:val="clear" w:pos="9072"/>
        </w:tabs>
        <w:ind w:left="709" w:right="-2"/>
        <w:jc w:val="both"/>
        <w:rPr>
          <w:rFonts w:ascii="Arial" w:hAnsi="Arial" w:cs="Arial"/>
          <w:b/>
          <w:bCs/>
          <w:noProof/>
          <w:sz w:val="16"/>
          <w:szCs w:val="16"/>
          <w:lang w:val="en-US"/>
        </w:rPr>
      </w:pPr>
    </w:p>
    <w:p w:rsidR="00BC0934" w:rsidRPr="000E7C04" w:rsidRDefault="0032248D" w:rsidP="00DA1E54">
      <w:pPr>
        <w:ind w:left="709"/>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rPr>
      </w:pPr>
    </w:p>
    <w:p w:rsidR="00067B90" w:rsidRDefault="00067B90" w:rsidP="00B40872">
      <w:pPr>
        <w:pStyle w:val="Kopfzeile"/>
        <w:tabs>
          <w:tab w:val="clear" w:pos="4536"/>
          <w:tab w:val="clear" w:pos="9072"/>
        </w:tabs>
        <w:ind w:left="709" w:right="-2"/>
        <w:jc w:val="both"/>
        <w:rPr>
          <w:rFonts w:ascii="Arial" w:hAnsi="Arial" w:cs="Arial"/>
          <w:b/>
          <w:bCs/>
          <w:noProof/>
          <w:sz w:val="16"/>
          <w:szCs w:val="16"/>
        </w:rPr>
      </w:pPr>
    </w:p>
    <w:p w:rsidR="0091402E" w:rsidRDefault="0091402E" w:rsidP="00B40872">
      <w:pPr>
        <w:pStyle w:val="Kopfzeile"/>
        <w:tabs>
          <w:tab w:val="clear" w:pos="4536"/>
          <w:tab w:val="clear" w:pos="9072"/>
        </w:tabs>
        <w:ind w:left="709" w:right="-2"/>
        <w:jc w:val="both"/>
        <w:rPr>
          <w:rFonts w:ascii="Arial" w:hAnsi="Arial" w:cs="Arial"/>
          <w:b/>
          <w:bCs/>
          <w:noProof/>
          <w:sz w:val="16"/>
          <w:szCs w:val="16"/>
        </w:rPr>
      </w:pPr>
    </w:p>
    <w:p w:rsidR="0091402E" w:rsidRPr="00A15957" w:rsidRDefault="0091402E" w:rsidP="0091402E">
      <w:pPr>
        <w:autoSpaceDE w:val="0"/>
        <w:autoSpaceDN w:val="0"/>
        <w:adjustRightInd w:val="0"/>
        <w:ind w:left="708"/>
        <w:rPr>
          <w:rFonts w:ascii="Arial" w:hAnsi="Arial" w:cs="Arial"/>
          <w:b/>
          <w:bCs/>
          <w:i/>
          <w:iCs/>
          <w:color w:val="000000"/>
          <w:sz w:val="16"/>
          <w:szCs w:val="16"/>
        </w:rPr>
      </w:pPr>
      <w:r>
        <w:rPr>
          <w:rFonts w:ascii="Arial" w:hAnsi="Arial"/>
          <w:b/>
          <w:bCs/>
          <w:i/>
          <w:iCs/>
          <w:color w:val="000000"/>
          <w:sz w:val="16"/>
          <w:szCs w:val="16"/>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rPr>
      </w:pPr>
    </w:p>
    <w:p w:rsidR="007836C0" w:rsidRPr="007836C0" w:rsidRDefault="007836C0" w:rsidP="007836C0">
      <w:pPr>
        <w:ind w:left="708"/>
        <w:jc w:val="both"/>
        <w:rPr>
          <w:rFonts w:ascii="Arial" w:hAnsi="Arial" w:cs="Arial"/>
          <w:i/>
          <w:iCs/>
          <w:sz w:val="16"/>
          <w:szCs w:val="16"/>
        </w:rPr>
      </w:pPr>
      <w:r>
        <w:rPr>
          <w:rFonts w:ascii="Arial" w:hAnsi="Arial"/>
          <w:i/>
          <w:iCs/>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AE0103">
      <w:rPr>
        <w:rFonts w:ascii="Arial" w:hAnsi="Arial" w:cs="Arial"/>
        <w:noProof/>
        <w:sz w:val="22"/>
        <w:szCs w:val="22"/>
      </w:rPr>
      <w:t>1</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AE0103">
      <w:rPr>
        <w:rFonts w:ascii="Arial" w:hAnsi="Arial" w:cs="Arial"/>
        <w:noProof/>
        <w:sz w:val="22"/>
        <w:szCs w:val="22"/>
      </w:rPr>
      <w:t>2</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2749</Characters>
  <Application>Microsoft Office Word</Application>
  <DocSecurity>4</DocSecurity>
  <Lines>85</Lines>
  <Paragraphs>43</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3152</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2017-06-14T12:24:00Z</dcterms:created>
  <dcterms:modified xsi:type="dcterms:W3CDTF">2017-06-14T12:24:00Z</dcterms:modified>
</cp:coreProperties>
</file>