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27232826" w:rsidR="005903CD" w:rsidRPr="00137707" w:rsidRDefault="005903CD" w:rsidP="005903CD">
      <w:pPr>
        <w:spacing w:line="276" w:lineRule="auto"/>
        <w:ind w:left="697"/>
        <w:outlineLvl w:val="0"/>
        <w:rPr>
          <w:rFonts w:ascii="Arial" w:eastAsia="Arial" w:hAnsi="Arial" w:cs="Arial"/>
          <w:b/>
          <w:sz w:val="30"/>
          <w:szCs w:val="30"/>
        </w:rPr>
      </w:pPr>
      <w:bookmarkStart w:id="0" w:name="Section1"/>
      <w:bookmarkEnd w:id="0"/>
      <w:r>
        <w:rPr>
          <w:rFonts w:ascii="Arial" w:hAnsi="Arial"/>
          <w:b/>
          <w:sz w:val="30"/>
        </w:rPr>
        <w:t>secunet Security Networks AG publishes Group Quarterly Statement as at 30 September 2022 and confirms Forecast 2022</w:t>
      </w:r>
    </w:p>
    <w:p w14:paraId="766810DD" w14:textId="77777777" w:rsidR="005903CD" w:rsidRPr="00171534" w:rsidRDefault="005903CD" w:rsidP="005903CD">
      <w:pPr>
        <w:spacing w:line="276" w:lineRule="auto"/>
        <w:ind w:left="697"/>
        <w:outlineLvl w:val="0"/>
      </w:pPr>
    </w:p>
    <w:p w14:paraId="2A4349AF" w14:textId="2AE73EF4" w:rsidR="000511F4" w:rsidRDefault="005903CD" w:rsidP="00137707">
      <w:pPr>
        <w:spacing w:before="120" w:line="360" w:lineRule="auto"/>
        <w:ind w:left="697"/>
        <w:jc w:val="both"/>
        <w:rPr>
          <w:rFonts w:ascii="Arial" w:eastAsia="Arial" w:hAnsi="Arial" w:cs="Arial"/>
          <w:b/>
          <w:sz w:val="22"/>
        </w:rPr>
      </w:pPr>
      <w:r>
        <w:rPr>
          <w:rFonts w:ascii="Arial" w:hAnsi="Arial"/>
          <w:b/>
          <w:i/>
          <w:sz w:val="22"/>
        </w:rPr>
        <w:t>[Essen, 8 November 2022]</w:t>
      </w:r>
      <w:r>
        <w:rPr>
          <w:rFonts w:ascii="Arial" w:hAnsi="Arial"/>
          <w:b/>
          <w:sz w:val="22"/>
        </w:rPr>
        <w:t xml:space="preserve"> secunet Security Networks AG (ISIN DE0007276503, WKN 727650), Germany’s leading cybersecurity company and IT security partner of the Federal Republic of Germany, today publishes its Group Quarterly Statement as at 30 September 2022. As expected, sales revenue and earnings are below the previous year’s level. The order book remains high. The forecast for the full year 2022 is confirmed.</w:t>
      </w:r>
    </w:p>
    <w:p w14:paraId="4F42BBED" w14:textId="7E305E4C" w:rsidR="004E112F" w:rsidRPr="00860751" w:rsidRDefault="004E112F" w:rsidP="004E112F">
      <w:pPr>
        <w:spacing w:before="120" w:after="120" w:line="360" w:lineRule="auto"/>
        <w:ind w:left="697"/>
        <w:jc w:val="both"/>
        <w:rPr>
          <w:rFonts w:ascii="Arial" w:hAnsi="Arial"/>
          <w:sz w:val="22"/>
        </w:rPr>
      </w:pPr>
      <w:r>
        <w:rPr>
          <w:rFonts w:ascii="Arial" w:hAnsi="Arial"/>
          <w:sz w:val="22"/>
        </w:rPr>
        <w:t xml:space="preserve">secunet Group generated sales revenue of 213.0 million euros in the months from January to September 2022. Compared with the sales revenue in the same period of the previous year (249.4 million euros), this corresponds to a decline of 15%. The main reason for this was that the bar was set high in the previous year, characterised by two one-off effects. Firstly, secunet Group recorded additional sales revenue in the Public Sector division in the previous year due to the pandemic. Secondly, high product sales were achieved in the Business Sector division due to the roll-out of software upgrades of the secunet </w:t>
      </w:r>
      <w:r w:rsidR="00860751" w:rsidRPr="00860751">
        <w:rPr>
          <w:rFonts w:ascii="Arial" w:hAnsi="Arial"/>
          <w:sz w:val="22"/>
        </w:rPr>
        <w:t>e-health connector</w:t>
      </w:r>
      <w:r>
        <w:rPr>
          <w:rFonts w:ascii="Arial" w:hAnsi="Arial"/>
          <w:sz w:val="22"/>
        </w:rPr>
        <w:t>. As expected, it was not possible to repeat these effects in the current 2022 financial year.</w:t>
      </w:r>
    </w:p>
    <w:p w14:paraId="456C75EB" w14:textId="75AC2746" w:rsidR="004E112F" w:rsidRDefault="004E112F" w:rsidP="004E112F">
      <w:pPr>
        <w:spacing w:before="120" w:after="120" w:line="360" w:lineRule="auto"/>
        <w:ind w:left="697"/>
        <w:jc w:val="both"/>
        <w:rPr>
          <w:rFonts w:ascii="Arial" w:eastAsia="Arial" w:hAnsi="Arial" w:cs="Arial"/>
          <w:sz w:val="22"/>
        </w:rPr>
      </w:pPr>
      <w:r>
        <w:rPr>
          <w:rFonts w:ascii="Arial" w:hAnsi="Arial"/>
          <w:sz w:val="22"/>
        </w:rPr>
        <w:t>Earnings before interest and taxes (EBIT) for the months from January to September 2022 stood at 23.9 million euros, compared to 48.7 million euros in the same period of the previous year. Along with the development in sales revenue,</w:t>
      </w:r>
      <w:r w:rsidR="00860751">
        <w:rPr>
          <w:rFonts w:ascii="Arial" w:hAnsi="Arial"/>
          <w:sz w:val="22"/>
        </w:rPr>
        <w:t xml:space="preserve"> </w:t>
      </w:r>
      <w:r>
        <w:rPr>
          <w:rFonts w:ascii="Arial" w:hAnsi="Arial"/>
          <w:sz w:val="22"/>
        </w:rPr>
        <w:t xml:space="preserve">the changes in product mix and increased investment in workforce size to broaden the solution range had a impact on earnings. </w:t>
      </w:r>
    </w:p>
    <w:p w14:paraId="0E874E37" w14:textId="2592B5E4" w:rsidR="004679A1" w:rsidRDefault="004679A1" w:rsidP="004E112F">
      <w:pPr>
        <w:spacing w:before="120" w:after="120" w:line="360" w:lineRule="auto"/>
        <w:ind w:left="697"/>
        <w:jc w:val="both"/>
        <w:rPr>
          <w:rFonts w:ascii="Arial" w:eastAsia="Arial" w:hAnsi="Arial" w:cs="Arial"/>
          <w:sz w:val="22"/>
        </w:rPr>
      </w:pPr>
      <w:r>
        <w:rPr>
          <w:rFonts w:ascii="Arial" w:hAnsi="Arial"/>
          <w:sz w:val="22"/>
        </w:rPr>
        <w:t xml:space="preserve">During the reporting period, 116.2 million euros in cash and cash equivalents was disbursed (same period of the previous year: cash outflow of 19.8 million euros). Of this, 49.4 million euros is attributable to the acquisition of SysEleven GmbH and 34.8 million euros to the </w:t>
      </w:r>
      <w:r>
        <w:rPr>
          <w:rFonts w:ascii="Arial" w:hAnsi="Arial"/>
          <w:sz w:val="22"/>
        </w:rPr>
        <w:lastRenderedPageBreak/>
        <w:t>dividend payment. Furthermore, a cash-effective increase in working capital had a negative impact on cash flow from operating activities. The increase in working capital serves to ensure the ability to deliver in the important year-end business. Cash and cash equivalents as at 30 September 2022 amounted to 3.3 million euros (previous year: 81.8 million euros).</w:t>
      </w:r>
    </w:p>
    <w:p w14:paraId="022AF2F5" w14:textId="022875A3" w:rsidR="004F5C42" w:rsidRDefault="00356FEE" w:rsidP="00356FEE">
      <w:pPr>
        <w:spacing w:before="120" w:after="120" w:line="360" w:lineRule="auto"/>
        <w:ind w:left="697"/>
        <w:jc w:val="both"/>
        <w:rPr>
          <w:rFonts w:ascii="Arial" w:eastAsia="Arial" w:hAnsi="Arial" w:cs="Arial"/>
          <w:sz w:val="22"/>
        </w:rPr>
      </w:pPr>
      <w:r>
        <w:rPr>
          <w:rFonts w:ascii="Arial" w:hAnsi="Arial"/>
          <w:sz w:val="22"/>
        </w:rPr>
        <w:t>As at 30 September 2022, secunet Group’s order book in accordance with IFRS amounted to 168.6 million euros. It has thus once again reached the high level of the same reporting date in the previous year (174.9 million euros).</w:t>
      </w:r>
    </w:p>
    <w:p w14:paraId="126E8B99" w14:textId="1B6AA24D" w:rsidR="004C7EED" w:rsidRDefault="000511F4" w:rsidP="00FF4C90">
      <w:pPr>
        <w:spacing w:before="120" w:after="120" w:line="360" w:lineRule="auto"/>
        <w:ind w:left="697"/>
        <w:jc w:val="both"/>
        <w:rPr>
          <w:rFonts w:ascii="Arial" w:eastAsia="Arial" w:hAnsi="Arial" w:cs="Arial"/>
          <w:sz w:val="22"/>
        </w:rPr>
      </w:pPr>
      <w:r>
        <w:rPr>
          <w:rFonts w:ascii="Arial" w:hAnsi="Arial"/>
          <w:sz w:val="22"/>
        </w:rPr>
        <w:t xml:space="preserve">“Overall, secunet Group’s business </w:t>
      </w:r>
      <w:r w:rsidR="00793610">
        <w:rPr>
          <w:rFonts w:ascii="Arial" w:hAnsi="Arial"/>
          <w:sz w:val="22"/>
        </w:rPr>
        <w:t xml:space="preserve">development </w:t>
      </w:r>
      <w:r>
        <w:rPr>
          <w:rFonts w:ascii="Arial" w:hAnsi="Arial"/>
          <w:sz w:val="22"/>
        </w:rPr>
        <w:t>after the conclusion of the first nine months of the 2022 financial year is in line with our expectations,” says Axel Deininger, CEO of secunet Security Networks AG. “secunet Group’s business performance during the year is characterised by a focus on the second half of the year and a strong fourth quarter. This is related to the</w:t>
      </w:r>
      <w:bookmarkStart w:id="1" w:name="_GoBack"/>
      <w:bookmarkEnd w:id="1"/>
      <w:r>
        <w:rPr>
          <w:rFonts w:ascii="Arial" w:hAnsi="Arial"/>
          <w:sz w:val="22"/>
        </w:rPr>
        <w:t xml:space="preserve"> procurement processes of public sector clients, who make up the majority of our customers. There are indications of such a trend for the 2022 financial year, as we see positive business momentum, which is also reflected in the level of orders received. On this basis, we are confident of achieving the targets we set for the 2022 financial year.”</w:t>
      </w:r>
    </w:p>
    <w:p w14:paraId="50C6604E" w14:textId="3F24760F" w:rsidR="00AE1630" w:rsidRDefault="00B12502" w:rsidP="004C7EED">
      <w:pPr>
        <w:spacing w:before="120" w:after="120" w:line="360" w:lineRule="auto"/>
        <w:ind w:left="697"/>
        <w:jc w:val="both"/>
        <w:rPr>
          <w:rFonts w:ascii="Arial" w:eastAsia="Arial" w:hAnsi="Arial" w:cs="Arial"/>
          <w:sz w:val="22"/>
        </w:rPr>
      </w:pPr>
      <w:r>
        <w:rPr>
          <w:rFonts w:ascii="Arial" w:hAnsi="Arial"/>
          <w:sz w:val="22"/>
        </w:rPr>
        <w:t>The Management Board of secunet Security Networks AG confirms its forecast for the 2022 financial year. Sales revenue is expected to be around 320 million euros. EBIT is estimated at around 50 million euros. The outlook continues to assume that the procurement situation on the global semiconductor markets will not deteriorate significantly.</w:t>
      </w:r>
    </w:p>
    <w:p w14:paraId="118E9BBC" w14:textId="4C1F3E3C" w:rsidR="00B22EF7" w:rsidRDefault="005D1A2E" w:rsidP="002A0265">
      <w:pPr>
        <w:spacing w:before="120" w:line="360" w:lineRule="auto"/>
        <w:ind w:left="697"/>
        <w:jc w:val="both"/>
        <w:rPr>
          <w:rFonts w:ascii="Arial" w:eastAsia="Arial" w:hAnsi="Arial" w:cs="Arial"/>
          <w:sz w:val="22"/>
        </w:rPr>
      </w:pPr>
      <w:r>
        <w:rPr>
          <w:rFonts w:ascii="Arial" w:hAnsi="Arial"/>
          <w:sz w:val="22"/>
        </w:rPr>
        <w:t xml:space="preserve">The Group Quarterly Statement as at 30 September 2022 is available for you to download at </w:t>
      </w:r>
      <w:r>
        <w:rPr>
          <w:rFonts w:ascii="Arial" w:hAnsi="Arial"/>
          <w:color w:val="0000FF"/>
          <w:sz w:val="22"/>
        </w:rPr>
        <w:t>www.secunet.com</w:t>
      </w:r>
      <w:r>
        <w:rPr>
          <w:rFonts w:ascii="Arial" w:hAnsi="Arial"/>
          <w:sz w:val="22"/>
        </w:rPr>
        <w:t xml:space="preserve">. </w:t>
      </w:r>
    </w:p>
    <w:p w14:paraId="65A35DC9" w14:textId="27B88727" w:rsidR="00B87383" w:rsidRDefault="00B87383" w:rsidP="002A0265">
      <w:pPr>
        <w:spacing w:before="120" w:line="360" w:lineRule="auto"/>
        <w:ind w:left="697"/>
        <w:jc w:val="both"/>
        <w:rPr>
          <w:rFonts w:ascii="Arial" w:eastAsia="Arial" w:hAnsi="Arial" w:cs="Arial"/>
          <w:sz w:val="22"/>
        </w:rPr>
      </w:pPr>
    </w:p>
    <w:p w14:paraId="6D25A5DA" w14:textId="77777777" w:rsidR="00A456EF" w:rsidRDefault="00A456EF" w:rsidP="002A0265">
      <w:pPr>
        <w:spacing w:before="120" w:line="360" w:lineRule="auto"/>
        <w:ind w:left="697"/>
        <w:jc w:val="both"/>
        <w:rPr>
          <w:rFonts w:ascii="Arial" w:eastAsia="Arial" w:hAnsi="Arial" w:cs="Arial"/>
          <w:sz w:val="22"/>
        </w:rPr>
      </w:pPr>
    </w:p>
    <w:p w14:paraId="27643CA3" w14:textId="77777777" w:rsidR="00B87383" w:rsidRPr="005D1A2E" w:rsidRDefault="00B87383" w:rsidP="002A0265">
      <w:pPr>
        <w:spacing w:before="120" w:line="360" w:lineRule="auto"/>
        <w:ind w:left="697"/>
        <w:jc w:val="both"/>
        <w:rPr>
          <w:rFonts w:ascii="Arial" w:eastAsia="Arial" w:hAnsi="Arial" w:cs="Arial"/>
          <w:sz w:val="22"/>
        </w:rPr>
      </w:pPr>
    </w:p>
    <w:p w14:paraId="59E574D7" w14:textId="77777777" w:rsidR="00711AB6" w:rsidRDefault="00711AB6" w:rsidP="00B22EF7">
      <w:pPr>
        <w:spacing w:line="276" w:lineRule="auto"/>
        <w:ind w:firstLine="697"/>
        <w:jc w:val="both"/>
        <w:rPr>
          <w:rFonts w:ascii="Arial" w:eastAsia="Arial" w:hAnsi="Arial" w:cs="Arial"/>
          <w:b/>
          <w:sz w:val="16"/>
        </w:rPr>
      </w:pPr>
    </w:p>
    <w:p w14:paraId="16BF6AC8" w14:textId="52B737D3" w:rsidR="00B22EF7" w:rsidRDefault="00B22EF7" w:rsidP="00B22EF7">
      <w:pPr>
        <w:spacing w:line="276" w:lineRule="auto"/>
        <w:ind w:firstLine="697"/>
        <w:jc w:val="both"/>
        <w:rPr>
          <w:rFonts w:ascii="Arial" w:eastAsia="Arial" w:hAnsi="Arial" w:cs="Arial"/>
          <w:b/>
          <w:sz w:val="16"/>
        </w:rPr>
      </w:pPr>
      <w:r>
        <w:rPr>
          <w:rFonts w:ascii="Arial" w:hAnsi="Arial"/>
          <w:b/>
          <w:sz w:val="16"/>
        </w:rPr>
        <w:t>Contact</w:t>
      </w:r>
    </w:p>
    <w:p w14:paraId="492B5167" w14:textId="77777777" w:rsidR="008D6DA5" w:rsidRDefault="008D6DA5" w:rsidP="00B22EF7">
      <w:pPr>
        <w:spacing w:line="276" w:lineRule="auto"/>
        <w:ind w:firstLine="697"/>
        <w:jc w:val="both"/>
        <w:rPr>
          <w:rFonts w:ascii="Arial" w:eastAsia="Arial" w:hAnsi="Arial" w:cs="Arial"/>
          <w:sz w:val="16"/>
        </w:rPr>
      </w:pPr>
    </w:p>
    <w:p w14:paraId="48704177" w14:textId="0BA161A3" w:rsidR="00B22EF7" w:rsidRPr="009C7DC2" w:rsidRDefault="00B22EF7" w:rsidP="00B22EF7">
      <w:pPr>
        <w:spacing w:line="276" w:lineRule="auto"/>
        <w:ind w:firstLine="697"/>
        <w:jc w:val="both"/>
      </w:pPr>
      <w:r>
        <w:rPr>
          <w:rFonts w:ascii="Arial" w:hAnsi="Arial"/>
          <w:sz w:val="16"/>
        </w:rPr>
        <w:t>Philipp Gröber</w:t>
      </w:r>
    </w:p>
    <w:p w14:paraId="158C3EA9" w14:textId="77777777" w:rsidR="00B22EF7" w:rsidRPr="00067BE5" w:rsidRDefault="00B22EF7" w:rsidP="00B22EF7">
      <w:pPr>
        <w:spacing w:line="276" w:lineRule="auto"/>
        <w:ind w:firstLine="697"/>
        <w:jc w:val="both"/>
      </w:pPr>
      <w:r>
        <w:rPr>
          <w:rFonts w:ascii="Arial" w:hAnsi="Arial"/>
          <w:sz w:val="16"/>
        </w:rPr>
        <w:t>Head of Investor Relations</w:t>
      </w:r>
    </w:p>
    <w:p w14:paraId="404C975C" w14:textId="4D9625F8" w:rsidR="00B22EF7" w:rsidRPr="00275B8A" w:rsidRDefault="00B22EF7" w:rsidP="00B22EF7">
      <w:pPr>
        <w:spacing w:line="276" w:lineRule="auto"/>
        <w:ind w:firstLine="697"/>
        <w:jc w:val="both"/>
        <w:rPr>
          <w:rFonts w:ascii="Arial" w:eastAsia="Arial" w:hAnsi="Arial" w:cs="Arial"/>
          <w:sz w:val="16"/>
        </w:rPr>
      </w:pPr>
      <w:r>
        <w:rPr>
          <w:rFonts w:ascii="Arial" w:hAnsi="Arial"/>
          <w:sz w:val="16"/>
        </w:rPr>
        <w:t>Phone: +49 201 5454 3937</w:t>
      </w:r>
    </w:p>
    <w:p w14:paraId="19D2B3A9" w14:textId="61EBD3C9" w:rsidR="00B22EF7" w:rsidRPr="00275B8A" w:rsidRDefault="00B22EF7" w:rsidP="00B22EF7">
      <w:pPr>
        <w:spacing w:line="276" w:lineRule="auto"/>
        <w:ind w:firstLine="697"/>
        <w:jc w:val="both"/>
        <w:rPr>
          <w:rFonts w:ascii="Arial" w:eastAsia="Arial" w:hAnsi="Arial" w:cs="Arial"/>
          <w:sz w:val="16"/>
        </w:rPr>
      </w:pPr>
      <w:r>
        <w:rPr>
          <w:rFonts w:ascii="Arial" w:hAnsi="Arial"/>
          <w:sz w:val="16"/>
        </w:rPr>
        <w:t>e-mail: </w:t>
      </w:r>
      <w:hyperlink r:id="rId7" w:history="1">
        <w:r>
          <w:rPr>
            <w:rStyle w:val="Hyperlink"/>
            <w:rFonts w:ascii="Arial" w:hAnsi="Arial"/>
            <w:sz w:val="16"/>
          </w:rPr>
          <w:t>investor.relations@secunet.com</w:t>
        </w:r>
      </w:hyperlink>
    </w:p>
    <w:p w14:paraId="27F5D600" w14:textId="77777777" w:rsidR="00BB7BF1" w:rsidRPr="00275B8A" w:rsidRDefault="00BB7BF1" w:rsidP="00E331E7">
      <w:pPr>
        <w:spacing w:line="276" w:lineRule="auto"/>
        <w:jc w:val="both"/>
        <w:rPr>
          <w:rFonts w:ascii="Arial" w:eastAsia="Arial" w:hAnsi="Arial" w:cs="Arial"/>
          <w:sz w:val="16"/>
        </w:rPr>
      </w:pPr>
    </w:p>
    <w:p w14:paraId="43431058" w14:textId="77777777" w:rsidR="00B22EF7" w:rsidRPr="00067BE5" w:rsidRDefault="00B22EF7" w:rsidP="00B22EF7">
      <w:pPr>
        <w:spacing w:line="276" w:lineRule="auto"/>
        <w:ind w:firstLine="697"/>
        <w:jc w:val="both"/>
        <w:rPr>
          <w:rFonts w:ascii="Arial" w:eastAsia="Arial" w:hAnsi="Arial" w:cs="Arial"/>
          <w:sz w:val="16"/>
        </w:rPr>
      </w:pPr>
      <w:r>
        <w:rPr>
          <w:rFonts w:ascii="Arial" w:hAnsi="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proofErr w:type="spellStart"/>
      <w:r>
        <w:rPr>
          <w:rFonts w:ascii="Arial" w:hAnsi="Arial"/>
          <w:sz w:val="16"/>
        </w:rPr>
        <w:t>Kurfürstenstrasse</w:t>
      </w:r>
      <w:proofErr w:type="spellEnd"/>
      <w:r>
        <w:rPr>
          <w:rFonts w:ascii="Arial" w:hAnsi="Arial"/>
          <w:sz w:val="16"/>
        </w:rPr>
        <w:t xml:space="preserve"> 58</w:t>
      </w:r>
    </w:p>
    <w:p w14:paraId="58F60FCC" w14:textId="22BBA0EE" w:rsidR="00B22EF7" w:rsidRDefault="00B22EF7" w:rsidP="00B22EF7">
      <w:pPr>
        <w:spacing w:line="276" w:lineRule="auto"/>
        <w:ind w:firstLine="697"/>
        <w:jc w:val="both"/>
        <w:rPr>
          <w:rFonts w:ascii="Arial" w:eastAsia="Arial" w:hAnsi="Arial" w:cs="Arial"/>
          <w:sz w:val="16"/>
        </w:rPr>
      </w:pPr>
      <w:r>
        <w:rPr>
          <w:rFonts w:ascii="Arial" w:hAnsi="Arial"/>
          <w:sz w:val="16"/>
        </w:rPr>
        <w:t>45138 Essen, Germany</w:t>
      </w:r>
    </w:p>
    <w:p w14:paraId="584BF6B2" w14:textId="2F28B48A" w:rsidR="00C31D79" w:rsidRPr="00275B8A" w:rsidRDefault="00793610" w:rsidP="00C31D79">
      <w:pPr>
        <w:spacing w:line="276" w:lineRule="auto"/>
        <w:ind w:firstLine="697"/>
        <w:jc w:val="both"/>
        <w:rPr>
          <w:rFonts w:ascii="Arial" w:eastAsia="Arial" w:hAnsi="Arial" w:cs="Arial"/>
          <w:sz w:val="16"/>
        </w:rPr>
      </w:pPr>
      <w:hyperlink r:id="rId8" w:history="1">
        <w:r w:rsidR="00275B8A">
          <w:rPr>
            <w:rStyle w:val="Hyperlink"/>
            <w:rFonts w:ascii="Arial" w:hAnsi="Arial"/>
            <w:sz w:val="16"/>
          </w:rPr>
          <w:t>http://www.secunet.com</w:t>
        </w:r>
      </w:hyperlink>
    </w:p>
    <w:p w14:paraId="72C8DDAC" w14:textId="77777777" w:rsidR="00B22EF7" w:rsidRPr="00275B8A" w:rsidRDefault="00B22EF7" w:rsidP="00B22EF7">
      <w:pPr>
        <w:spacing w:line="276" w:lineRule="auto"/>
        <w:ind w:firstLine="697"/>
        <w:jc w:val="both"/>
        <w:rPr>
          <w:rFonts w:ascii="Arial" w:eastAsia="Arial" w:hAnsi="Arial" w:cs="Arial"/>
          <w:sz w:val="16"/>
          <w:lang w:val="pt-PT"/>
        </w:rPr>
      </w:pPr>
    </w:p>
    <w:p w14:paraId="1EED0426" w14:textId="214771C3" w:rsidR="00B22EF7" w:rsidRPr="00275B8A" w:rsidRDefault="00B22EF7" w:rsidP="00B22EF7">
      <w:pPr>
        <w:spacing w:line="276" w:lineRule="auto"/>
        <w:ind w:firstLine="697"/>
        <w:jc w:val="both"/>
        <w:rPr>
          <w:rFonts w:ascii="Arial" w:eastAsia="Arial" w:hAnsi="Arial" w:cs="Arial"/>
          <w:sz w:val="16"/>
        </w:rPr>
      </w:pPr>
      <w:r>
        <w:rPr>
          <w:rFonts w:ascii="Arial" w:hAnsi="Arial"/>
          <w:sz w:val="16"/>
        </w:rPr>
        <w:t>ISIN: DE0007276503</w:t>
      </w:r>
    </w:p>
    <w:p w14:paraId="05C4F89B" w14:textId="66106E59" w:rsidR="00B22EF7" w:rsidRPr="00275B8A" w:rsidRDefault="00B22EF7" w:rsidP="00B22EF7">
      <w:pPr>
        <w:spacing w:line="276" w:lineRule="auto"/>
        <w:ind w:firstLine="697"/>
        <w:jc w:val="both"/>
        <w:rPr>
          <w:rFonts w:ascii="Arial" w:eastAsia="Arial" w:hAnsi="Arial" w:cs="Arial"/>
          <w:sz w:val="16"/>
        </w:rPr>
      </w:pPr>
      <w:r>
        <w:rPr>
          <w:rFonts w:ascii="Arial" w:hAnsi="Arial"/>
          <w:sz w:val="16"/>
        </w:rPr>
        <w:t>WKN: 727650</w:t>
      </w:r>
    </w:p>
    <w:p w14:paraId="7081FAC4" w14:textId="2EE41FDD" w:rsidR="00B22EF7" w:rsidRDefault="00B22EF7" w:rsidP="00B22EF7">
      <w:pPr>
        <w:spacing w:line="276" w:lineRule="auto"/>
        <w:ind w:left="697"/>
        <w:jc w:val="both"/>
        <w:rPr>
          <w:rFonts w:ascii="Arial" w:eastAsia="Arial" w:hAnsi="Arial" w:cs="Arial"/>
          <w:sz w:val="16"/>
        </w:rPr>
      </w:pPr>
      <w:r>
        <w:rPr>
          <w:rFonts w:ascii="Arial" w:hAnsi="Arial"/>
          <w:sz w:val="16"/>
        </w:rPr>
        <w:t>Listed: regulated market in Frankfurt (Prime Standard); open market trading in Berlin, Bremen, Düsseldorf, Hamburg, Hanover, Munich and Stuttgart</w:t>
      </w:r>
    </w:p>
    <w:p w14:paraId="5DAEF97B" w14:textId="77777777" w:rsidR="00453D4B" w:rsidRDefault="00453D4B" w:rsidP="00B22EF7">
      <w:pPr>
        <w:spacing w:line="276" w:lineRule="auto"/>
        <w:ind w:left="697"/>
        <w:jc w:val="both"/>
        <w:rPr>
          <w:rFonts w:ascii="Arial" w:eastAsia="Arial" w:hAnsi="Arial" w:cs="Arial"/>
          <w:sz w:val="16"/>
        </w:rPr>
      </w:pPr>
    </w:p>
    <w:p w14:paraId="6059A571" w14:textId="77777777" w:rsidR="00B22EF7" w:rsidRDefault="00B22EF7" w:rsidP="00B22EF7">
      <w:pPr>
        <w:pStyle w:val="Kopfzeile"/>
        <w:ind w:right="-2"/>
        <w:jc w:val="both"/>
        <w:outlineLvl w:val="0"/>
        <w:rPr>
          <w:rFonts w:ascii="Arial" w:hAnsi="Arial"/>
          <w:b/>
          <w:sz w:val="16"/>
        </w:rPr>
      </w:pPr>
    </w:p>
    <w:p w14:paraId="068795B5" w14:textId="1CA5CB16" w:rsidR="00453D4B" w:rsidRDefault="00453D4B" w:rsidP="00453D4B">
      <w:pPr>
        <w:pStyle w:val="Kopfzeile"/>
        <w:ind w:left="709" w:right="-2"/>
        <w:jc w:val="both"/>
        <w:outlineLvl w:val="0"/>
        <w:rPr>
          <w:rFonts w:ascii="Arial" w:hAnsi="Arial"/>
          <w:b/>
          <w:sz w:val="16"/>
        </w:rPr>
      </w:pPr>
      <w:r>
        <w:rPr>
          <w:rFonts w:ascii="Arial" w:hAnsi="Arial"/>
          <w:b/>
          <w:sz w:val="16"/>
        </w:rPr>
        <w:t xml:space="preserve">secunet – protection for digital infrastructures </w:t>
      </w:r>
    </w:p>
    <w:p w14:paraId="1F6CD7F2" w14:textId="77777777" w:rsidR="00453D4B" w:rsidRDefault="00453D4B" w:rsidP="00453D4B">
      <w:pPr>
        <w:pStyle w:val="Kopfzeile"/>
        <w:ind w:left="709" w:right="-2"/>
        <w:jc w:val="both"/>
        <w:outlineLvl w:val="0"/>
        <w:rPr>
          <w:rFonts w:ascii="Arial" w:hAnsi="Arial"/>
          <w:b/>
          <w:sz w:val="16"/>
        </w:rPr>
      </w:pPr>
    </w:p>
    <w:p w14:paraId="465A0CD9" w14:textId="77777777" w:rsidR="00453D4B" w:rsidRDefault="00453D4B" w:rsidP="00453D4B">
      <w:pPr>
        <w:ind w:left="709" w:hanging="12"/>
        <w:jc w:val="both"/>
        <w:rPr>
          <w:rFonts w:ascii="Arial" w:hAnsi="Arial" w:cs="Arial"/>
          <w:sz w:val="16"/>
          <w:szCs w:val="16"/>
        </w:rPr>
      </w:pPr>
      <w:r>
        <w:rPr>
          <w:rFonts w:ascii="Arial" w:hAnsi="Arial"/>
          <w:sz w:val="16"/>
        </w:rPr>
        <w:t xml:space="preserve">secunet is Germany’s leading cybersecurity company. In an increasingly connected world, the Company’s combination of products and consulting assures resilient digital infrastructures and the utmost protection for data, applications and digital identities. secunet specialises in fields with particular requirements on security – such as cloud computing, </w:t>
      </w:r>
      <w:proofErr w:type="spellStart"/>
      <w:r>
        <w:rPr>
          <w:rFonts w:ascii="Arial" w:hAnsi="Arial"/>
          <w:sz w:val="16"/>
        </w:rPr>
        <w:t>IIoT</w:t>
      </w:r>
      <w:proofErr w:type="spellEnd"/>
      <w:r>
        <w:rPr>
          <w:rFonts w:ascii="Arial" w:hAnsi="Arial"/>
          <w:sz w:val="16"/>
        </w:rPr>
        <w:t xml:space="preserve">, eGovernment and eHealth. With security solutions from secunet, companies can maintain the highest security standards in digitalisation projects and thus expedite their digital transformation. </w:t>
      </w:r>
    </w:p>
    <w:p w14:paraId="07ABB1FC" w14:textId="77777777" w:rsidR="00453D4B" w:rsidRDefault="00453D4B" w:rsidP="00453D4B">
      <w:pPr>
        <w:ind w:left="709" w:hanging="12"/>
        <w:jc w:val="both"/>
        <w:rPr>
          <w:rFonts w:ascii="Arial" w:hAnsi="Arial" w:cs="Arial"/>
          <w:sz w:val="16"/>
          <w:szCs w:val="16"/>
        </w:rPr>
      </w:pPr>
    </w:p>
    <w:p w14:paraId="60D7B928" w14:textId="383513DB" w:rsidR="00453D4B" w:rsidRDefault="00453D4B" w:rsidP="00453D4B">
      <w:pPr>
        <w:ind w:left="709" w:hanging="12"/>
        <w:jc w:val="both"/>
        <w:rPr>
          <w:rFonts w:ascii="Arial" w:hAnsi="Arial" w:cs="Arial"/>
          <w:sz w:val="16"/>
          <w:szCs w:val="16"/>
        </w:rPr>
      </w:pPr>
      <w:r>
        <w:rPr>
          <w:rFonts w:ascii="Arial" w:hAnsi="Arial"/>
          <w:sz w:val="16"/>
        </w:rPr>
        <w:t>Over 1000 experts strengthen the digital sovereignty of governments, businesses and society. secunet’s customers include federal ministries, more than 20 DAX-listed corporations as well as other national and international organisations. The Company was founded in 1997. It is listed on the SDAX and achieved revenues of around 337 million euros in 2021.</w:t>
      </w:r>
    </w:p>
    <w:p w14:paraId="4EE71E9A" w14:textId="77777777" w:rsidR="00453D4B" w:rsidRDefault="00453D4B" w:rsidP="00453D4B">
      <w:pPr>
        <w:ind w:left="709" w:hanging="12"/>
        <w:jc w:val="both"/>
        <w:rPr>
          <w:rFonts w:ascii="Arial" w:hAnsi="Arial" w:cs="Arial"/>
          <w:sz w:val="16"/>
          <w:szCs w:val="16"/>
        </w:rPr>
      </w:pPr>
    </w:p>
    <w:p w14:paraId="138DE971" w14:textId="77777777" w:rsidR="00453D4B" w:rsidRDefault="00453D4B" w:rsidP="00453D4B">
      <w:pPr>
        <w:ind w:left="709" w:hanging="12"/>
        <w:jc w:val="both"/>
        <w:rPr>
          <w:rFonts w:ascii="Arial" w:hAnsi="Arial" w:cs="Arial"/>
          <w:sz w:val="16"/>
          <w:szCs w:val="16"/>
        </w:rPr>
      </w:pPr>
      <w:r>
        <w:rPr>
          <w:rFonts w:ascii="Arial" w:hAnsi="Arial"/>
          <w:sz w:val="16"/>
        </w:rPr>
        <w:t>secunet is an IT security partner to the Federal Republic of Germany and a partner of the German Alliance for Cyber Security.</w:t>
      </w:r>
    </w:p>
    <w:p w14:paraId="46415251" w14:textId="77777777" w:rsidR="00453D4B" w:rsidRDefault="00453D4B" w:rsidP="00453D4B">
      <w:pPr>
        <w:pStyle w:val="Kopfzeile"/>
        <w:tabs>
          <w:tab w:val="left" w:pos="708"/>
        </w:tabs>
        <w:ind w:right="-2"/>
        <w:jc w:val="both"/>
        <w:rPr>
          <w:rFonts w:ascii="Arial" w:hAnsi="Arial"/>
          <w:sz w:val="16"/>
        </w:rPr>
      </w:pPr>
    </w:p>
    <w:p w14:paraId="52FFC517" w14:textId="47A2E8E6" w:rsidR="00453D4B" w:rsidRDefault="00453D4B" w:rsidP="00453D4B">
      <w:pPr>
        <w:ind w:left="697"/>
        <w:jc w:val="both"/>
        <w:rPr>
          <w:rFonts w:ascii="Arial" w:hAnsi="Arial"/>
          <w:i/>
          <w:sz w:val="16"/>
        </w:rPr>
      </w:pPr>
      <w:r>
        <w:rPr>
          <w:rFonts w:ascii="Arial" w:hAnsi="Arial"/>
          <w:i/>
          <w:sz w:val="16"/>
        </w:rPr>
        <w:t xml:space="preserve">Further information can be found at </w:t>
      </w:r>
      <w:hyperlink r:id="rId9" w:history="1">
        <w:r>
          <w:rPr>
            <w:rStyle w:val="Hyperlink"/>
            <w:rFonts w:ascii="Arial" w:hAnsi="Arial"/>
            <w:i/>
            <w:sz w:val="16"/>
          </w:rPr>
          <w:t>www.secunet.com</w:t>
        </w:r>
      </w:hyperlink>
      <w:r>
        <w:rPr>
          <w:rFonts w:ascii="Arial" w:hAnsi="Arial"/>
          <w:i/>
          <w:sz w:val="16"/>
        </w:rPr>
        <w:t>.</w:t>
      </w:r>
    </w:p>
    <w:p w14:paraId="33E153EB" w14:textId="77777777" w:rsidR="00453D4B" w:rsidRDefault="00453D4B" w:rsidP="00453D4B">
      <w:pPr>
        <w:ind w:left="697"/>
        <w:jc w:val="both"/>
        <w:rPr>
          <w:rFonts w:ascii="Arial" w:hAnsi="Arial"/>
          <w:i/>
          <w:sz w:val="16"/>
        </w:rPr>
      </w:pPr>
    </w:p>
    <w:p w14:paraId="50D48AE3" w14:textId="77777777" w:rsidR="00B22EF7" w:rsidRDefault="00B22EF7" w:rsidP="00B22EF7">
      <w:pPr>
        <w:spacing w:line="276" w:lineRule="auto"/>
        <w:rPr>
          <w:rFonts w:ascii="Arial" w:eastAsia="Arial" w:hAnsi="Arial" w:cs="Arial"/>
          <w:b/>
          <w:i/>
          <w:sz w:val="16"/>
        </w:rPr>
      </w:pPr>
    </w:p>
    <w:p w14:paraId="04E10447" w14:textId="665D38E2" w:rsidR="00B22EF7" w:rsidRDefault="00B22EF7" w:rsidP="00B22EF7">
      <w:pPr>
        <w:spacing w:line="276" w:lineRule="auto"/>
        <w:ind w:firstLine="697"/>
        <w:rPr>
          <w:rFonts w:ascii="Arial" w:eastAsia="Arial" w:hAnsi="Arial" w:cs="Arial"/>
          <w:b/>
          <w:i/>
          <w:sz w:val="16"/>
        </w:rPr>
      </w:pPr>
      <w:r>
        <w:rPr>
          <w:rFonts w:ascii="Arial" w:hAnsi="Arial"/>
          <w:b/>
          <w:i/>
          <w:sz w:val="16"/>
        </w:rPr>
        <w:t>Disclaimer</w:t>
      </w:r>
    </w:p>
    <w:p w14:paraId="03FFF3C8" w14:textId="77777777" w:rsidR="008D6DA5" w:rsidRDefault="008D6DA5" w:rsidP="00B22EF7">
      <w:pPr>
        <w:spacing w:line="276" w:lineRule="auto"/>
        <w:ind w:left="697"/>
        <w:jc w:val="both"/>
        <w:rPr>
          <w:rFonts w:ascii="Arial" w:eastAsia="Arial" w:hAnsi="Arial" w:cs="Arial"/>
          <w:i/>
          <w:sz w:val="16"/>
        </w:rPr>
      </w:pPr>
    </w:p>
    <w:p w14:paraId="476DDB27" w14:textId="1DDEB62F" w:rsidR="00B22EF7" w:rsidRPr="00E425BD" w:rsidRDefault="00B22EF7" w:rsidP="00B22EF7">
      <w:pPr>
        <w:spacing w:line="276" w:lineRule="auto"/>
        <w:ind w:left="697"/>
        <w:jc w:val="both"/>
      </w:pPr>
      <w:r>
        <w:rPr>
          <w:rFonts w:ascii="Arial" w:hAnsi="Arial"/>
          <w:i/>
          <w:sz w:val="16"/>
        </w:rPr>
        <w:t>This press release contains predictive statements. 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10"/>
      <w:footerReference w:type="even" r:id="rId11"/>
      <w:footerReference w:type="default" r:id="rId12"/>
      <w:headerReference w:type="first" r:id="rId13"/>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AFBAF" w14:textId="77777777" w:rsidR="00DB2C2E" w:rsidRDefault="00DB2C2E">
      <w:r>
        <w:separator/>
      </w:r>
    </w:p>
  </w:endnote>
  <w:endnote w:type="continuationSeparator" w:id="0">
    <w:p w14:paraId="688B60A8" w14:textId="77777777" w:rsidR="00DB2C2E" w:rsidRDefault="00DB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Page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r>
      <w:rPr>
        <w:rStyle w:val="Seitenzahl"/>
        <w:rFonts w:ascii="Arial" w:hAnsi="Arial"/>
        <w:sz w:val="22"/>
      </w:rPr>
      <w:t xml:space="preserve"> of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46E38" w14:textId="77777777" w:rsidR="00DB2C2E" w:rsidRDefault="00DB2C2E">
      <w:r>
        <w:separator/>
      </w:r>
    </w:p>
  </w:footnote>
  <w:footnote w:type="continuationSeparator" w:id="0">
    <w:p w14:paraId="6141678B" w14:textId="77777777" w:rsidR="00DB2C2E" w:rsidRDefault="00DB2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 release</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1C8938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3"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6"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3"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6"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8"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5"/>
  </w:num>
  <w:num w:numId="2">
    <w:abstractNumId w:val="23"/>
  </w:num>
  <w:num w:numId="3">
    <w:abstractNumId w:val="10"/>
  </w:num>
  <w:num w:numId="4">
    <w:abstractNumId w:val="22"/>
  </w:num>
  <w:num w:numId="5">
    <w:abstractNumId w:val="27"/>
  </w:num>
  <w:num w:numId="6">
    <w:abstractNumId w:val="1"/>
    <w:lvlOverride w:ilvl="0">
      <w:lvl w:ilvl="0">
        <w:numFmt w:val="bullet"/>
        <w:lvlText w:val=""/>
        <w:legacy w:legacy="1" w:legacySpace="0" w:legacyIndent="0"/>
        <w:lvlJc w:val="left"/>
        <w:rPr>
          <w:rFonts w:ascii="Symbol" w:hAnsi="Symbol" w:hint="default"/>
        </w:rPr>
      </w:lvl>
    </w:lvlOverride>
  </w:num>
  <w:num w:numId="7">
    <w:abstractNumId w:val="19"/>
  </w:num>
  <w:num w:numId="8">
    <w:abstractNumId w:val="21"/>
  </w:num>
  <w:num w:numId="9">
    <w:abstractNumId w:val="24"/>
  </w:num>
  <w:num w:numId="10">
    <w:abstractNumId w:val="3"/>
  </w:num>
  <w:num w:numId="11">
    <w:abstractNumId w:val="14"/>
  </w:num>
  <w:num w:numId="12">
    <w:abstractNumId w:val="26"/>
  </w:num>
  <w:num w:numId="13">
    <w:abstractNumId w:val="13"/>
  </w:num>
  <w:num w:numId="14">
    <w:abstractNumId w:val="15"/>
  </w:num>
  <w:num w:numId="15">
    <w:abstractNumId w:val="17"/>
  </w:num>
  <w:num w:numId="16">
    <w:abstractNumId w:val="8"/>
  </w:num>
  <w:num w:numId="17">
    <w:abstractNumId w:val="20"/>
  </w:num>
  <w:num w:numId="18">
    <w:abstractNumId w:val="12"/>
  </w:num>
  <w:num w:numId="19">
    <w:abstractNumId w:val="4"/>
  </w:num>
  <w:num w:numId="20">
    <w:abstractNumId w:val="18"/>
  </w:num>
  <w:num w:numId="21">
    <w:abstractNumId w:val="11"/>
  </w:num>
  <w:num w:numId="22">
    <w:abstractNumId w:val="6"/>
  </w:num>
  <w:num w:numId="23">
    <w:abstractNumId w:val="16"/>
  </w:num>
  <w:num w:numId="24">
    <w:abstractNumId w:val="9"/>
  </w:num>
  <w:num w:numId="25">
    <w:abstractNumId w:val="2"/>
  </w:num>
  <w:num w:numId="26">
    <w:abstractNumId w:val="7"/>
  </w:num>
  <w:num w:numId="27">
    <w:abstractNumId w:val="25"/>
  </w:num>
  <w:num w:numId="28">
    <w:abstractNumId w:val="2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00DEE"/>
    <w:rsid w:val="00004937"/>
    <w:rsid w:val="0001726C"/>
    <w:rsid w:val="00020DE4"/>
    <w:rsid w:val="0003544C"/>
    <w:rsid w:val="00036D1C"/>
    <w:rsid w:val="00040A21"/>
    <w:rsid w:val="00046C8B"/>
    <w:rsid w:val="000511F4"/>
    <w:rsid w:val="00070E91"/>
    <w:rsid w:val="000742B7"/>
    <w:rsid w:val="00096466"/>
    <w:rsid w:val="00096B8A"/>
    <w:rsid w:val="000A4DA4"/>
    <w:rsid w:val="000A7ED1"/>
    <w:rsid w:val="000B1B83"/>
    <w:rsid w:val="000C124B"/>
    <w:rsid w:val="000C6C1E"/>
    <w:rsid w:val="000D0B22"/>
    <w:rsid w:val="001024CD"/>
    <w:rsid w:val="001075C5"/>
    <w:rsid w:val="001206D1"/>
    <w:rsid w:val="001249CD"/>
    <w:rsid w:val="001305D8"/>
    <w:rsid w:val="00130C10"/>
    <w:rsid w:val="00137707"/>
    <w:rsid w:val="00142C38"/>
    <w:rsid w:val="001459FF"/>
    <w:rsid w:val="0014673C"/>
    <w:rsid w:val="0015116B"/>
    <w:rsid w:val="0016012C"/>
    <w:rsid w:val="00167925"/>
    <w:rsid w:val="00171534"/>
    <w:rsid w:val="00193E2D"/>
    <w:rsid w:val="001A319D"/>
    <w:rsid w:val="001A3F9B"/>
    <w:rsid w:val="001A6039"/>
    <w:rsid w:val="001B0963"/>
    <w:rsid w:val="001B57A7"/>
    <w:rsid w:val="001C659A"/>
    <w:rsid w:val="001C6E78"/>
    <w:rsid w:val="001F0C6F"/>
    <w:rsid w:val="001F4F69"/>
    <w:rsid w:val="001F66D8"/>
    <w:rsid w:val="001F70FA"/>
    <w:rsid w:val="002052C3"/>
    <w:rsid w:val="00227CC3"/>
    <w:rsid w:val="00227CF5"/>
    <w:rsid w:val="002306DE"/>
    <w:rsid w:val="00233340"/>
    <w:rsid w:val="0023626C"/>
    <w:rsid w:val="002376E0"/>
    <w:rsid w:val="00243467"/>
    <w:rsid w:val="002548A9"/>
    <w:rsid w:val="00260C83"/>
    <w:rsid w:val="0026186F"/>
    <w:rsid w:val="00270286"/>
    <w:rsid w:val="00275B8A"/>
    <w:rsid w:val="00281419"/>
    <w:rsid w:val="002845E8"/>
    <w:rsid w:val="002976D1"/>
    <w:rsid w:val="002A0265"/>
    <w:rsid w:val="002A39FF"/>
    <w:rsid w:val="002A45DA"/>
    <w:rsid w:val="002A6536"/>
    <w:rsid w:val="002B544D"/>
    <w:rsid w:val="002B6ED4"/>
    <w:rsid w:val="002D6227"/>
    <w:rsid w:val="002F1177"/>
    <w:rsid w:val="003037A9"/>
    <w:rsid w:val="00303C40"/>
    <w:rsid w:val="003104C2"/>
    <w:rsid w:val="003124BB"/>
    <w:rsid w:val="00327AD2"/>
    <w:rsid w:val="003369CE"/>
    <w:rsid w:val="003431EA"/>
    <w:rsid w:val="00345097"/>
    <w:rsid w:val="00346B76"/>
    <w:rsid w:val="00352E52"/>
    <w:rsid w:val="00356FEE"/>
    <w:rsid w:val="00361AC0"/>
    <w:rsid w:val="00367D58"/>
    <w:rsid w:val="0038240C"/>
    <w:rsid w:val="003A2B5B"/>
    <w:rsid w:val="003A5873"/>
    <w:rsid w:val="003B57FD"/>
    <w:rsid w:val="003C4CE8"/>
    <w:rsid w:val="003C6168"/>
    <w:rsid w:val="003D4326"/>
    <w:rsid w:val="003D6E81"/>
    <w:rsid w:val="003E446B"/>
    <w:rsid w:val="003E473B"/>
    <w:rsid w:val="003E768E"/>
    <w:rsid w:val="003F174F"/>
    <w:rsid w:val="00403FAC"/>
    <w:rsid w:val="004128BB"/>
    <w:rsid w:val="004144F5"/>
    <w:rsid w:val="004162FD"/>
    <w:rsid w:val="00424413"/>
    <w:rsid w:val="00424480"/>
    <w:rsid w:val="00425195"/>
    <w:rsid w:val="004260EA"/>
    <w:rsid w:val="00430373"/>
    <w:rsid w:val="00440BD5"/>
    <w:rsid w:val="00446DDD"/>
    <w:rsid w:val="00453D4B"/>
    <w:rsid w:val="00456FA4"/>
    <w:rsid w:val="0046110F"/>
    <w:rsid w:val="004679A1"/>
    <w:rsid w:val="00472FBA"/>
    <w:rsid w:val="00481556"/>
    <w:rsid w:val="00486F57"/>
    <w:rsid w:val="00494FD7"/>
    <w:rsid w:val="00497979"/>
    <w:rsid w:val="004A0F46"/>
    <w:rsid w:val="004A41A7"/>
    <w:rsid w:val="004A6854"/>
    <w:rsid w:val="004B2A0F"/>
    <w:rsid w:val="004C7EED"/>
    <w:rsid w:val="004D28A9"/>
    <w:rsid w:val="004E112F"/>
    <w:rsid w:val="004E3646"/>
    <w:rsid w:val="004E4F2A"/>
    <w:rsid w:val="004F5C42"/>
    <w:rsid w:val="004F638D"/>
    <w:rsid w:val="004F67E1"/>
    <w:rsid w:val="00504997"/>
    <w:rsid w:val="00517B37"/>
    <w:rsid w:val="0052247A"/>
    <w:rsid w:val="00524C20"/>
    <w:rsid w:val="005320B7"/>
    <w:rsid w:val="00557A52"/>
    <w:rsid w:val="005829AF"/>
    <w:rsid w:val="00587DF0"/>
    <w:rsid w:val="005903CD"/>
    <w:rsid w:val="00594E0E"/>
    <w:rsid w:val="005B303F"/>
    <w:rsid w:val="005B717F"/>
    <w:rsid w:val="005C47AD"/>
    <w:rsid w:val="005D165E"/>
    <w:rsid w:val="005D1A2E"/>
    <w:rsid w:val="005F5428"/>
    <w:rsid w:val="00604CBD"/>
    <w:rsid w:val="00605520"/>
    <w:rsid w:val="006068C1"/>
    <w:rsid w:val="00610EC9"/>
    <w:rsid w:val="006338C8"/>
    <w:rsid w:val="0066336C"/>
    <w:rsid w:val="0066547B"/>
    <w:rsid w:val="00670EC1"/>
    <w:rsid w:val="00676CAA"/>
    <w:rsid w:val="006877AA"/>
    <w:rsid w:val="006941B8"/>
    <w:rsid w:val="00697500"/>
    <w:rsid w:val="006A596F"/>
    <w:rsid w:val="006A77C8"/>
    <w:rsid w:val="006B303A"/>
    <w:rsid w:val="006B3CAD"/>
    <w:rsid w:val="006C7756"/>
    <w:rsid w:val="006E072B"/>
    <w:rsid w:val="006E5244"/>
    <w:rsid w:val="006F4535"/>
    <w:rsid w:val="006F51A3"/>
    <w:rsid w:val="00711AB6"/>
    <w:rsid w:val="00711DF3"/>
    <w:rsid w:val="00713B59"/>
    <w:rsid w:val="00724D84"/>
    <w:rsid w:val="007261A0"/>
    <w:rsid w:val="00735BC2"/>
    <w:rsid w:val="0074231C"/>
    <w:rsid w:val="007505DB"/>
    <w:rsid w:val="00762F43"/>
    <w:rsid w:val="00774F5C"/>
    <w:rsid w:val="00781CBE"/>
    <w:rsid w:val="00791DED"/>
    <w:rsid w:val="00793610"/>
    <w:rsid w:val="007A03D5"/>
    <w:rsid w:val="007A1524"/>
    <w:rsid w:val="007C44F4"/>
    <w:rsid w:val="007E78FB"/>
    <w:rsid w:val="007F3B60"/>
    <w:rsid w:val="007F6474"/>
    <w:rsid w:val="007F683E"/>
    <w:rsid w:val="0081682E"/>
    <w:rsid w:val="00816873"/>
    <w:rsid w:val="00816F4F"/>
    <w:rsid w:val="00827634"/>
    <w:rsid w:val="008406AF"/>
    <w:rsid w:val="00840EC1"/>
    <w:rsid w:val="008534B6"/>
    <w:rsid w:val="00860751"/>
    <w:rsid w:val="00863B39"/>
    <w:rsid w:val="00866631"/>
    <w:rsid w:val="0087418A"/>
    <w:rsid w:val="00874220"/>
    <w:rsid w:val="00874560"/>
    <w:rsid w:val="008813D3"/>
    <w:rsid w:val="00887126"/>
    <w:rsid w:val="008878D7"/>
    <w:rsid w:val="008929BC"/>
    <w:rsid w:val="008947F0"/>
    <w:rsid w:val="00894DF7"/>
    <w:rsid w:val="00896814"/>
    <w:rsid w:val="008B1EF4"/>
    <w:rsid w:val="008B502F"/>
    <w:rsid w:val="008C1149"/>
    <w:rsid w:val="008C280E"/>
    <w:rsid w:val="008D6DA5"/>
    <w:rsid w:val="008E063E"/>
    <w:rsid w:val="008E434F"/>
    <w:rsid w:val="008E7A1D"/>
    <w:rsid w:val="009013CE"/>
    <w:rsid w:val="009037D8"/>
    <w:rsid w:val="0092449F"/>
    <w:rsid w:val="009251F4"/>
    <w:rsid w:val="00931C6D"/>
    <w:rsid w:val="00951871"/>
    <w:rsid w:val="00953454"/>
    <w:rsid w:val="009605DB"/>
    <w:rsid w:val="00962C16"/>
    <w:rsid w:val="00963B58"/>
    <w:rsid w:val="00974918"/>
    <w:rsid w:val="00977698"/>
    <w:rsid w:val="00997188"/>
    <w:rsid w:val="009B2661"/>
    <w:rsid w:val="009E4CA0"/>
    <w:rsid w:val="009F501B"/>
    <w:rsid w:val="00A02936"/>
    <w:rsid w:val="00A05375"/>
    <w:rsid w:val="00A061AF"/>
    <w:rsid w:val="00A164CA"/>
    <w:rsid w:val="00A21E9D"/>
    <w:rsid w:val="00A263A5"/>
    <w:rsid w:val="00A343AC"/>
    <w:rsid w:val="00A3586E"/>
    <w:rsid w:val="00A41155"/>
    <w:rsid w:val="00A411E0"/>
    <w:rsid w:val="00A42B24"/>
    <w:rsid w:val="00A456EF"/>
    <w:rsid w:val="00A54B8A"/>
    <w:rsid w:val="00A60D7D"/>
    <w:rsid w:val="00A627F6"/>
    <w:rsid w:val="00A80BE6"/>
    <w:rsid w:val="00A96B08"/>
    <w:rsid w:val="00AA0E95"/>
    <w:rsid w:val="00AA135E"/>
    <w:rsid w:val="00AA3C26"/>
    <w:rsid w:val="00AA5B8A"/>
    <w:rsid w:val="00AB6522"/>
    <w:rsid w:val="00AC1D76"/>
    <w:rsid w:val="00AC2590"/>
    <w:rsid w:val="00AD7DC7"/>
    <w:rsid w:val="00AE053A"/>
    <w:rsid w:val="00AE1630"/>
    <w:rsid w:val="00AE1A2F"/>
    <w:rsid w:val="00B030DE"/>
    <w:rsid w:val="00B102E4"/>
    <w:rsid w:val="00B11200"/>
    <w:rsid w:val="00B12502"/>
    <w:rsid w:val="00B13497"/>
    <w:rsid w:val="00B16EC8"/>
    <w:rsid w:val="00B22EF7"/>
    <w:rsid w:val="00B35383"/>
    <w:rsid w:val="00B40E24"/>
    <w:rsid w:val="00B50389"/>
    <w:rsid w:val="00B734E1"/>
    <w:rsid w:val="00B75439"/>
    <w:rsid w:val="00B768CC"/>
    <w:rsid w:val="00B81ACF"/>
    <w:rsid w:val="00B87383"/>
    <w:rsid w:val="00B93E86"/>
    <w:rsid w:val="00B944AA"/>
    <w:rsid w:val="00B94BF9"/>
    <w:rsid w:val="00B94E16"/>
    <w:rsid w:val="00BA519E"/>
    <w:rsid w:val="00BB7BF1"/>
    <w:rsid w:val="00BC28CD"/>
    <w:rsid w:val="00BC4024"/>
    <w:rsid w:val="00BD1C24"/>
    <w:rsid w:val="00BD439C"/>
    <w:rsid w:val="00BE42B0"/>
    <w:rsid w:val="00C013A9"/>
    <w:rsid w:val="00C0349C"/>
    <w:rsid w:val="00C05654"/>
    <w:rsid w:val="00C10F0B"/>
    <w:rsid w:val="00C12C5D"/>
    <w:rsid w:val="00C17202"/>
    <w:rsid w:val="00C20397"/>
    <w:rsid w:val="00C231C0"/>
    <w:rsid w:val="00C23944"/>
    <w:rsid w:val="00C2721E"/>
    <w:rsid w:val="00C31D79"/>
    <w:rsid w:val="00C34ED4"/>
    <w:rsid w:val="00C421CE"/>
    <w:rsid w:val="00C45DBD"/>
    <w:rsid w:val="00C46CAD"/>
    <w:rsid w:val="00C61363"/>
    <w:rsid w:val="00C62781"/>
    <w:rsid w:val="00C63104"/>
    <w:rsid w:val="00C70B38"/>
    <w:rsid w:val="00C75B8E"/>
    <w:rsid w:val="00C777A0"/>
    <w:rsid w:val="00C802EA"/>
    <w:rsid w:val="00C82F56"/>
    <w:rsid w:val="00C852C9"/>
    <w:rsid w:val="00C93B49"/>
    <w:rsid w:val="00C97DA5"/>
    <w:rsid w:val="00CA2A28"/>
    <w:rsid w:val="00CA6974"/>
    <w:rsid w:val="00CA75DB"/>
    <w:rsid w:val="00CB58B4"/>
    <w:rsid w:val="00CB5FD7"/>
    <w:rsid w:val="00CC4F22"/>
    <w:rsid w:val="00CE0F75"/>
    <w:rsid w:val="00CF0C4D"/>
    <w:rsid w:val="00CF245E"/>
    <w:rsid w:val="00CF2E93"/>
    <w:rsid w:val="00CF3D76"/>
    <w:rsid w:val="00CF5CCA"/>
    <w:rsid w:val="00D14EB8"/>
    <w:rsid w:val="00D20EC5"/>
    <w:rsid w:val="00D21FA6"/>
    <w:rsid w:val="00D40551"/>
    <w:rsid w:val="00D43C32"/>
    <w:rsid w:val="00D44081"/>
    <w:rsid w:val="00D46F52"/>
    <w:rsid w:val="00D46FDB"/>
    <w:rsid w:val="00D50EA4"/>
    <w:rsid w:val="00D50F10"/>
    <w:rsid w:val="00D51FAC"/>
    <w:rsid w:val="00D523D3"/>
    <w:rsid w:val="00D612F2"/>
    <w:rsid w:val="00D61B72"/>
    <w:rsid w:val="00D72AE3"/>
    <w:rsid w:val="00D767F1"/>
    <w:rsid w:val="00D77CAB"/>
    <w:rsid w:val="00D869EC"/>
    <w:rsid w:val="00D870FE"/>
    <w:rsid w:val="00DA4072"/>
    <w:rsid w:val="00DA5239"/>
    <w:rsid w:val="00DA5758"/>
    <w:rsid w:val="00DB2C2E"/>
    <w:rsid w:val="00DB3487"/>
    <w:rsid w:val="00DB3759"/>
    <w:rsid w:val="00DC3650"/>
    <w:rsid w:val="00DC4997"/>
    <w:rsid w:val="00DC581D"/>
    <w:rsid w:val="00DD2F97"/>
    <w:rsid w:val="00DD35CA"/>
    <w:rsid w:val="00DE2112"/>
    <w:rsid w:val="00DF4AA7"/>
    <w:rsid w:val="00DF56D4"/>
    <w:rsid w:val="00E029B6"/>
    <w:rsid w:val="00E048FC"/>
    <w:rsid w:val="00E1613A"/>
    <w:rsid w:val="00E25AB6"/>
    <w:rsid w:val="00E331E7"/>
    <w:rsid w:val="00E33D36"/>
    <w:rsid w:val="00E37728"/>
    <w:rsid w:val="00E45F30"/>
    <w:rsid w:val="00E47EE0"/>
    <w:rsid w:val="00E628AD"/>
    <w:rsid w:val="00E62AB2"/>
    <w:rsid w:val="00E630DC"/>
    <w:rsid w:val="00E66ADE"/>
    <w:rsid w:val="00E76E63"/>
    <w:rsid w:val="00E83A44"/>
    <w:rsid w:val="00E8552B"/>
    <w:rsid w:val="00E970C5"/>
    <w:rsid w:val="00EA5D08"/>
    <w:rsid w:val="00EA6663"/>
    <w:rsid w:val="00EA6FC6"/>
    <w:rsid w:val="00EB3EB6"/>
    <w:rsid w:val="00EB7AEA"/>
    <w:rsid w:val="00EC2B51"/>
    <w:rsid w:val="00EC6C28"/>
    <w:rsid w:val="00EC75F0"/>
    <w:rsid w:val="00ED4D3E"/>
    <w:rsid w:val="00ED75F9"/>
    <w:rsid w:val="00ED7CC9"/>
    <w:rsid w:val="00EE62C0"/>
    <w:rsid w:val="00EF241B"/>
    <w:rsid w:val="00EF4B33"/>
    <w:rsid w:val="00EF5FBD"/>
    <w:rsid w:val="00EF7865"/>
    <w:rsid w:val="00F1244C"/>
    <w:rsid w:val="00F21A51"/>
    <w:rsid w:val="00F34A37"/>
    <w:rsid w:val="00F35769"/>
    <w:rsid w:val="00F56F39"/>
    <w:rsid w:val="00F603AA"/>
    <w:rsid w:val="00F6657E"/>
    <w:rsid w:val="00F665A0"/>
    <w:rsid w:val="00F71F0E"/>
    <w:rsid w:val="00F73C27"/>
    <w:rsid w:val="00F7408E"/>
    <w:rsid w:val="00F83B7E"/>
    <w:rsid w:val="00F84869"/>
    <w:rsid w:val="00F85F58"/>
    <w:rsid w:val="00F9035A"/>
    <w:rsid w:val="00F90E69"/>
    <w:rsid w:val="00F91BB7"/>
    <w:rsid w:val="00F93059"/>
    <w:rsid w:val="00FA226B"/>
    <w:rsid w:val="00FA76A3"/>
    <w:rsid w:val="00FB28B2"/>
    <w:rsid w:val="00FC294A"/>
    <w:rsid w:val="00FC48A1"/>
    <w:rsid w:val="00FF17E4"/>
    <w:rsid w:val="00FF4C90"/>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character" w:customStyle="1" w:styleId="KommentartextZchn">
    <w:name w:val="Kommentartext Zchn"/>
    <w:basedOn w:val="Absatz-Standardschriftart"/>
    <w:link w:val="Kommentartext"/>
    <w:uiPriority w:val="99"/>
    <w:semiHidden/>
    <w:rsid w:val="003431EA"/>
  </w:style>
  <w:style w:type="character" w:customStyle="1" w:styleId="KopfzeileZchn">
    <w:name w:val="Kopfzeile Zchn"/>
    <w:basedOn w:val="Absatz-Standardschriftart"/>
    <w:link w:val="Kopfzeile"/>
    <w:rsid w:val="00453D4B"/>
  </w:style>
  <w:style w:type="paragraph" w:styleId="Aufzhlungszeichen">
    <w:name w:val="List Bullet"/>
    <w:basedOn w:val="Standard"/>
    <w:unhideWhenUsed/>
    <w:rsid w:val="005D1A2E"/>
    <w:pPr>
      <w:numPr>
        <w:numId w:val="29"/>
      </w:numPr>
      <w:contextualSpacing/>
    </w:pPr>
  </w:style>
  <w:style w:type="character" w:customStyle="1" w:styleId="text-break">
    <w:name w:val="text-break"/>
    <w:basedOn w:val="Absatz-Standardschriftart"/>
    <w:rsid w:val="00860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31411">
      <w:bodyDiv w:val="1"/>
      <w:marLeft w:val="0"/>
      <w:marRight w:val="0"/>
      <w:marTop w:val="0"/>
      <w:marBottom w:val="0"/>
      <w:divBdr>
        <w:top w:val="none" w:sz="0" w:space="0" w:color="auto"/>
        <w:left w:val="none" w:sz="0" w:space="0" w:color="auto"/>
        <w:bottom w:val="none" w:sz="0" w:space="0" w:color="auto"/>
        <w:right w:val="none" w:sz="0" w:space="0" w:color="auto"/>
      </w:divBdr>
      <w:divsChild>
        <w:div w:id="271980811">
          <w:marLeft w:val="0"/>
          <w:marRight w:val="0"/>
          <w:marTop w:val="0"/>
          <w:marBottom w:val="0"/>
          <w:divBdr>
            <w:top w:val="none" w:sz="0" w:space="0" w:color="auto"/>
            <w:left w:val="none" w:sz="0" w:space="0" w:color="auto"/>
            <w:bottom w:val="none" w:sz="0" w:space="0" w:color="auto"/>
            <w:right w:val="none" w:sz="0" w:space="0" w:color="auto"/>
          </w:divBdr>
        </w:div>
        <w:div w:id="1217857793">
          <w:marLeft w:val="0"/>
          <w:marRight w:val="0"/>
          <w:marTop w:val="0"/>
          <w:marBottom w:val="0"/>
          <w:divBdr>
            <w:top w:val="none" w:sz="0" w:space="0" w:color="auto"/>
            <w:left w:val="none" w:sz="0" w:space="0" w:color="auto"/>
            <w:bottom w:val="none" w:sz="0" w:space="0" w:color="auto"/>
            <w:right w:val="none" w:sz="0" w:space="0" w:color="auto"/>
          </w:divBdr>
        </w:div>
        <w:div w:id="25713553">
          <w:marLeft w:val="0"/>
          <w:marRight w:val="0"/>
          <w:marTop w:val="0"/>
          <w:marBottom w:val="0"/>
          <w:divBdr>
            <w:top w:val="none" w:sz="0" w:space="0" w:color="auto"/>
            <w:left w:val="none" w:sz="0" w:space="0" w:color="auto"/>
            <w:bottom w:val="none" w:sz="0" w:space="0" w:color="auto"/>
            <w:right w:val="none" w:sz="0" w:space="0" w:color="auto"/>
          </w:divBdr>
        </w:div>
        <w:div w:id="2099861498">
          <w:marLeft w:val="0"/>
          <w:marRight w:val="0"/>
          <w:marTop w:val="0"/>
          <w:marBottom w:val="0"/>
          <w:divBdr>
            <w:top w:val="none" w:sz="0" w:space="0" w:color="auto"/>
            <w:left w:val="none" w:sz="0" w:space="0" w:color="auto"/>
            <w:bottom w:val="none" w:sz="0" w:space="0" w:color="auto"/>
            <w:right w:val="none" w:sz="0" w:space="0" w:color="auto"/>
          </w:divBdr>
        </w:div>
        <w:div w:id="634405877">
          <w:marLeft w:val="0"/>
          <w:marRight w:val="0"/>
          <w:marTop w:val="0"/>
          <w:marBottom w:val="0"/>
          <w:divBdr>
            <w:top w:val="none" w:sz="0" w:space="0" w:color="auto"/>
            <w:left w:val="none" w:sz="0" w:space="0" w:color="auto"/>
            <w:bottom w:val="none" w:sz="0" w:space="0" w:color="auto"/>
            <w:right w:val="none" w:sz="0" w:space="0" w:color="auto"/>
          </w:divBdr>
        </w:div>
        <w:div w:id="966159131">
          <w:marLeft w:val="0"/>
          <w:marRight w:val="0"/>
          <w:marTop w:val="0"/>
          <w:marBottom w:val="0"/>
          <w:divBdr>
            <w:top w:val="none" w:sz="0" w:space="0" w:color="auto"/>
            <w:left w:val="none" w:sz="0" w:space="0" w:color="auto"/>
            <w:bottom w:val="none" w:sz="0" w:space="0" w:color="auto"/>
            <w:right w:val="none" w:sz="0" w:space="0" w:color="auto"/>
          </w:divBdr>
        </w:div>
        <w:div w:id="89086558">
          <w:marLeft w:val="0"/>
          <w:marRight w:val="0"/>
          <w:marTop w:val="0"/>
          <w:marBottom w:val="0"/>
          <w:divBdr>
            <w:top w:val="none" w:sz="0" w:space="0" w:color="auto"/>
            <w:left w:val="none" w:sz="0" w:space="0" w:color="auto"/>
            <w:bottom w:val="none" w:sz="0" w:space="0" w:color="auto"/>
            <w:right w:val="none" w:sz="0" w:space="0" w:color="auto"/>
          </w:divBdr>
        </w:div>
        <w:div w:id="1610158249">
          <w:marLeft w:val="0"/>
          <w:marRight w:val="0"/>
          <w:marTop w:val="0"/>
          <w:marBottom w:val="0"/>
          <w:divBdr>
            <w:top w:val="none" w:sz="0" w:space="0" w:color="auto"/>
            <w:left w:val="none" w:sz="0" w:space="0" w:color="auto"/>
            <w:bottom w:val="none" w:sz="0" w:space="0" w:color="auto"/>
            <w:right w:val="none" w:sz="0" w:space="0" w:color="auto"/>
          </w:divBdr>
        </w:div>
        <w:div w:id="966200300">
          <w:marLeft w:val="0"/>
          <w:marRight w:val="0"/>
          <w:marTop w:val="0"/>
          <w:marBottom w:val="0"/>
          <w:divBdr>
            <w:top w:val="none" w:sz="0" w:space="0" w:color="auto"/>
            <w:left w:val="none" w:sz="0" w:space="0" w:color="auto"/>
            <w:bottom w:val="none" w:sz="0" w:space="0" w:color="auto"/>
            <w:right w:val="none" w:sz="0" w:space="0" w:color="auto"/>
          </w:divBdr>
        </w:div>
        <w:div w:id="1806655653">
          <w:marLeft w:val="0"/>
          <w:marRight w:val="0"/>
          <w:marTop w:val="0"/>
          <w:marBottom w:val="0"/>
          <w:divBdr>
            <w:top w:val="none" w:sz="0" w:space="0" w:color="auto"/>
            <w:left w:val="none" w:sz="0" w:space="0" w:color="auto"/>
            <w:bottom w:val="none" w:sz="0" w:space="0" w:color="auto"/>
            <w:right w:val="none" w:sz="0" w:space="0" w:color="auto"/>
          </w:divBdr>
        </w:div>
        <w:div w:id="1111626430">
          <w:marLeft w:val="0"/>
          <w:marRight w:val="0"/>
          <w:marTop w:val="0"/>
          <w:marBottom w:val="0"/>
          <w:divBdr>
            <w:top w:val="none" w:sz="0" w:space="0" w:color="auto"/>
            <w:left w:val="none" w:sz="0" w:space="0" w:color="auto"/>
            <w:bottom w:val="none" w:sz="0" w:space="0" w:color="auto"/>
            <w:right w:val="none" w:sz="0" w:space="0" w:color="auto"/>
          </w:divBdr>
        </w:div>
        <w:div w:id="6372142">
          <w:marLeft w:val="0"/>
          <w:marRight w:val="0"/>
          <w:marTop w:val="0"/>
          <w:marBottom w:val="0"/>
          <w:divBdr>
            <w:top w:val="none" w:sz="0" w:space="0" w:color="auto"/>
            <w:left w:val="none" w:sz="0" w:space="0" w:color="auto"/>
            <w:bottom w:val="none" w:sz="0" w:space="0" w:color="auto"/>
            <w:right w:val="none" w:sz="0" w:space="0" w:color="auto"/>
          </w:divBdr>
        </w:div>
        <w:div w:id="1600411553">
          <w:marLeft w:val="0"/>
          <w:marRight w:val="0"/>
          <w:marTop w:val="0"/>
          <w:marBottom w:val="0"/>
          <w:divBdr>
            <w:top w:val="none" w:sz="0" w:space="0" w:color="auto"/>
            <w:left w:val="none" w:sz="0" w:space="0" w:color="auto"/>
            <w:bottom w:val="none" w:sz="0" w:space="0" w:color="auto"/>
            <w:right w:val="none" w:sz="0" w:space="0" w:color="auto"/>
          </w:divBdr>
        </w:div>
        <w:div w:id="1744570070">
          <w:marLeft w:val="0"/>
          <w:marRight w:val="0"/>
          <w:marTop w:val="0"/>
          <w:marBottom w:val="0"/>
          <w:divBdr>
            <w:top w:val="none" w:sz="0" w:space="0" w:color="auto"/>
            <w:left w:val="none" w:sz="0" w:space="0" w:color="auto"/>
            <w:bottom w:val="none" w:sz="0" w:space="0" w:color="auto"/>
            <w:right w:val="none" w:sz="0" w:space="0" w:color="auto"/>
          </w:divBdr>
        </w:div>
        <w:div w:id="920022618">
          <w:marLeft w:val="0"/>
          <w:marRight w:val="0"/>
          <w:marTop w:val="0"/>
          <w:marBottom w:val="0"/>
          <w:divBdr>
            <w:top w:val="none" w:sz="0" w:space="0" w:color="auto"/>
            <w:left w:val="none" w:sz="0" w:space="0" w:color="auto"/>
            <w:bottom w:val="none" w:sz="0" w:space="0" w:color="auto"/>
            <w:right w:val="none" w:sz="0" w:space="0" w:color="auto"/>
          </w:divBdr>
        </w:div>
        <w:div w:id="262765313">
          <w:marLeft w:val="0"/>
          <w:marRight w:val="0"/>
          <w:marTop w:val="0"/>
          <w:marBottom w:val="0"/>
          <w:divBdr>
            <w:top w:val="none" w:sz="0" w:space="0" w:color="auto"/>
            <w:left w:val="none" w:sz="0" w:space="0" w:color="auto"/>
            <w:bottom w:val="none" w:sz="0" w:space="0" w:color="auto"/>
            <w:right w:val="none" w:sz="0" w:space="0" w:color="auto"/>
          </w:divBdr>
        </w:div>
        <w:div w:id="205413224">
          <w:marLeft w:val="0"/>
          <w:marRight w:val="0"/>
          <w:marTop w:val="0"/>
          <w:marBottom w:val="0"/>
          <w:divBdr>
            <w:top w:val="none" w:sz="0" w:space="0" w:color="auto"/>
            <w:left w:val="none" w:sz="0" w:space="0" w:color="auto"/>
            <w:bottom w:val="none" w:sz="0" w:space="0" w:color="auto"/>
            <w:right w:val="none" w:sz="0" w:space="0" w:color="auto"/>
          </w:divBdr>
        </w:div>
        <w:div w:id="1447701794">
          <w:marLeft w:val="0"/>
          <w:marRight w:val="0"/>
          <w:marTop w:val="0"/>
          <w:marBottom w:val="0"/>
          <w:divBdr>
            <w:top w:val="none" w:sz="0" w:space="0" w:color="auto"/>
            <w:left w:val="none" w:sz="0" w:space="0" w:color="auto"/>
            <w:bottom w:val="none" w:sz="0" w:space="0" w:color="auto"/>
            <w:right w:val="none" w:sz="0" w:space="0" w:color="auto"/>
          </w:divBdr>
        </w:div>
        <w:div w:id="39060584">
          <w:marLeft w:val="0"/>
          <w:marRight w:val="0"/>
          <w:marTop w:val="0"/>
          <w:marBottom w:val="0"/>
          <w:divBdr>
            <w:top w:val="none" w:sz="0" w:space="0" w:color="auto"/>
            <w:left w:val="none" w:sz="0" w:space="0" w:color="auto"/>
            <w:bottom w:val="none" w:sz="0" w:space="0" w:color="auto"/>
            <w:right w:val="none" w:sz="0" w:space="0" w:color="auto"/>
          </w:divBdr>
        </w:div>
        <w:div w:id="110981475">
          <w:marLeft w:val="0"/>
          <w:marRight w:val="0"/>
          <w:marTop w:val="0"/>
          <w:marBottom w:val="0"/>
          <w:divBdr>
            <w:top w:val="none" w:sz="0" w:space="0" w:color="auto"/>
            <w:left w:val="none" w:sz="0" w:space="0" w:color="auto"/>
            <w:bottom w:val="none" w:sz="0" w:space="0" w:color="auto"/>
            <w:right w:val="none" w:sz="0" w:space="0" w:color="auto"/>
          </w:divBdr>
        </w:div>
        <w:div w:id="371617441">
          <w:marLeft w:val="0"/>
          <w:marRight w:val="0"/>
          <w:marTop w:val="0"/>
          <w:marBottom w:val="0"/>
          <w:divBdr>
            <w:top w:val="none" w:sz="0" w:space="0" w:color="auto"/>
            <w:left w:val="none" w:sz="0" w:space="0" w:color="auto"/>
            <w:bottom w:val="none" w:sz="0" w:space="0" w:color="auto"/>
            <w:right w:val="none" w:sz="0" w:space="0" w:color="auto"/>
          </w:divBdr>
        </w:div>
        <w:div w:id="1077244957">
          <w:marLeft w:val="0"/>
          <w:marRight w:val="0"/>
          <w:marTop w:val="0"/>
          <w:marBottom w:val="0"/>
          <w:divBdr>
            <w:top w:val="none" w:sz="0" w:space="0" w:color="auto"/>
            <w:left w:val="none" w:sz="0" w:space="0" w:color="auto"/>
            <w:bottom w:val="none" w:sz="0" w:space="0" w:color="auto"/>
            <w:right w:val="none" w:sz="0" w:space="0" w:color="auto"/>
          </w:divBdr>
        </w:div>
        <w:div w:id="450050326">
          <w:marLeft w:val="0"/>
          <w:marRight w:val="0"/>
          <w:marTop w:val="0"/>
          <w:marBottom w:val="0"/>
          <w:divBdr>
            <w:top w:val="none" w:sz="0" w:space="0" w:color="auto"/>
            <w:left w:val="none" w:sz="0" w:space="0" w:color="auto"/>
            <w:bottom w:val="none" w:sz="0" w:space="0" w:color="auto"/>
            <w:right w:val="none" w:sz="0" w:space="0" w:color="auto"/>
          </w:divBdr>
        </w:div>
        <w:div w:id="654649042">
          <w:marLeft w:val="0"/>
          <w:marRight w:val="0"/>
          <w:marTop w:val="0"/>
          <w:marBottom w:val="0"/>
          <w:divBdr>
            <w:top w:val="none" w:sz="0" w:space="0" w:color="auto"/>
            <w:left w:val="none" w:sz="0" w:space="0" w:color="auto"/>
            <w:bottom w:val="none" w:sz="0" w:space="0" w:color="auto"/>
            <w:right w:val="none" w:sz="0" w:space="0" w:color="auto"/>
          </w:divBdr>
        </w:div>
        <w:div w:id="1445422530">
          <w:marLeft w:val="0"/>
          <w:marRight w:val="0"/>
          <w:marTop w:val="0"/>
          <w:marBottom w:val="0"/>
          <w:divBdr>
            <w:top w:val="none" w:sz="0" w:space="0" w:color="auto"/>
            <w:left w:val="none" w:sz="0" w:space="0" w:color="auto"/>
            <w:bottom w:val="none" w:sz="0" w:space="0" w:color="auto"/>
            <w:right w:val="none" w:sz="0" w:space="0" w:color="auto"/>
          </w:divBdr>
        </w:div>
        <w:div w:id="1505172851">
          <w:marLeft w:val="0"/>
          <w:marRight w:val="0"/>
          <w:marTop w:val="0"/>
          <w:marBottom w:val="0"/>
          <w:divBdr>
            <w:top w:val="none" w:sz="0" w:space="0" w:color="auto"/>
            <w:left w:val="none" w:sz="0" w:space="0" w:color="auto"/>
            <w:bottom w:val="none" w:sz="0" w:space="0" w:color="auto"/>
            <w:right w:val="none" w:sz="0" w:space="0" w:color="auto"/>
          </w:divBdr>
        </w:div>
        <w:div w:id="1120801943">
          <w:marLeft w:val="0"/>
          <w:marRight w:val="0"/>
          <w:marTop w:val="0"/>
          <w:marBottom w:val="0"/>
          <w:divBdr>
            <w:top w:val="none" w:sz="0" w:space="0" w:color="auto"/>
            <w:left w:val="none" w:sz="0" w:space="0" w:color="auto"/>
            <w:bottom w:val="none" w:sz="0" w:space="0" w:color="auto"/>
            <w:right w:val="none" w:sz="0" w:space="0" w:color="auto"/>
          </w:divBdr>
        </w:div>
        <w:div w:id="1606421296">
          <w:marLeft w:val="0"/>
          <w:marRight w:val="0"/>
          <w:marTop w:val="0"/>
          <w:marBottom w:val="0"/>
          <w:divBdr>
            <w:top w:val="none" w:sz="0" w:space="0" w:color="auto"/>
            <w:left w:val="none" w:sz="0" w:space="0" w:color="auto"/>
            <w:bottom w:val="none" w:sz="0" w:space="0" w:color="auto"/>
            <w:right w:val="none" w:sz="0" w:space="0" w:color="auto"/>
          </w:divBdr>
        </w:div>
        <w:div w:id="1175849615">
          <w:marLeft w:val="0"/>
          <w:marRight w:val="0"/>
          <w:marTop w:val="0"/>
          <w:marBottom w:val="0"/>
          <w:divBdr>
            <w:top w:val="none" w:sz="0" w:space="0" w:color="auto"/>
            <w:left w:val="none" w:sz="0" w:space="0" w:color="auto"/>
            <w:bottom w:val="none" w:sz="0" w:space="0" w:color="auto"/>
            <w:right w:val="none" w:sz="0" w:space="0" w:color="auto"/>
          </w:divBdr>
        </w:div>
        <w:div w:id="484395409">
          <w:marLeft w:val="0"/>
          <w:marRight w:val="0"/>
          <w:marTop w:val="0"/>
          <w:marBottom w:val="0"/>
          <w:divBdr>
            <w:top w:val="none" w:sz="0" w:space="0" w:color="auto"/>
            <w:left w:val="none" w:sz="0" w:space="0" w:color="auto"/>
            <w:bottom w:val="none" w:sz="0" w:space="0" w:color="auto"/>
            <w:right w:val="none" w:sz="0" w:space="0" w:color="auto"/>
          </w:divBdr>
        </w:div>
        <w:div w:id="1268197911">
          <w:marLeft w:val="0"/>
          <w:marRight w:val="0"/>
          <w:marTop w:val="0"/>
          <w:marBottom w:val="0"/>
          <w:divBdr>
            <w:top w:val="none" w:sz="0" w:space="0" w:color="auto"/>
            <w:left w:val="none" w:sz="0" w:space="0" w:color="auto"/>
            <w:bottom w:val="none" w:sz="0" w:space="0" w:color="auto"/>
            <w:right w:val="none" w:sz="0" w:space="0" w:color="auto"/>
          </w:divBdr>
        </w:div>
        <w:div w:id="1072775780">
          <w:marLeft w:val="0"/>
          <w:marRight w:val="0"/>
          <w:marTop w:val="0"/>
          <w:marBottom w:val="0"/>
          <w:divBdr>
            <w:top w:val="none" w:sz="0" w:space="0" w:color="auto"/>
            <w:left w:val="none" w:sz="0" w:space="0" w:color="auto"/>
            <w:bottom w:val="none" w:sz="0" w:space="0" w:color="auto"/>
            <w:right w:val="none" w:sz="0" w:space="0" w:color="auto"/>
          </w:divBdr>
        </w:div>
        <w:div w:id="103772222">
          <w:marLeft w:val="0"/>
          <w:marRight w:val="0"/>
          <w:marTop w:val="0"/>
          <w:marBottom w:val="0"/>
          <w:divBdr>
            <w:top w:val="none" w:sz="0" w:space="0" w:color="auto"/>
            <w:left w:val="none" w:sz="0" w:space="0" w:color="auto"/>
            <w:bottom w:val="none" w:sz="0" w:space="0" w:color="auto"/>
            <w:right w:val="none" w:sz="0" w:space="0" w:color="auto"/>
          </w:divBdr>
        </w:div>
        <w:div w:id="635719774">
          <w:marLeft w:val="0"/>
          <w:marRight w:val="0"/>
          <w:marTop w:val="0"/>
          <w:marBottom w:val="0"/>
          <w:divBdr>
            <w:top w:val="none" w:sz="0" w:space="0" w:color="auto"/>
            <w:left w:val="none" w:sz="0" w:space="0" w:color="auto"/>
            <w:bottom w:val="none" w:sz="0" w:space="0" w:color="auto"/>
            <w:right w:val="none" w:sz="0" w:space="0" w:color="auto"/>
          </w:divBdr>
        </w:div>
        <w:div w:id="1164129299">
          <w:marLeft w:val="0"/>
          <w:marRight w:val="0"/>
          <w:marTop w:val="0"/>
          <w:marBottom w:val="0"/>
          <w:divBdr>
            <w:top w:val="none" w:sz="0" w:space="0" w:color="auto"/>
            <w:left w:val="none" w:sz="0" w:space="0" w:color="auto"/>
            <w:bottom w:val="none" w:sz="0" w:space="0" w:color="auto"/>
            <w:right w:val="none" w:sz="0" w:space="0" w:color="auto"/>
          </w:divBdr>
        </w:div>
        <w:div w:id="1294559151">
          <w:marLeft w:val="0"/>
          <w:marRight w:val="0"/>
          <w:marTop w:val="0"/>
          <w:marBottom w:val="0"/>
          <w:divBdr>
            <w:top w:val="none" w:sz="0" w:space="0" w:color="auto"/>
            <w:left w:val="none" w:sz="0" w:space="0" w:color="auto"/>
            <w:bottom w:val="none" w:sz="0" w:space="0" w:color="auto"/>
            <w:right w:val="none" w:sz="0" w:space="0" w:color="auto"/>
          </w:divBdr>
        </w:div>
        <w:div w:id="945233775">
          <w:marLeft w:val="0"/>
          <w:marRight w:val="0"/>
          <w:marTop w:val="0"/>
          <w:marBottom w:val="0"/>
          <w:divBdr>
            <w:top w:val="none" w:sz="0" w:space="0" w:color="auto"/>
            <w:left w:val="none" w:sz="0" w:space="0" w:color="auto"/>
            <w:bottom w:val="none" w:sz="0" w:space="0" w:color="auto"/>
            <w:right w:val="none" w:sz="0" w:space="0" w:color="auto"/>
          </w:divBdr>
        </w:div>
      </w:divsChild>
    </w:div>
    <w:div w:id="215512193">
      <w:bodyDiv w:val="1"/>
      <w:marLeft w:val="0"/>
      <w:marRight w:val="0"/>
      <w:marTop w:val="0"/>
      <w:marBottom w:val="0"/>
      <w:divBdr>
        <w:top w:val="none" w:sz="0" w:space="0" w:color="auto"/>
        <w:left w:val="none" w:sz="0" w:space="0" w:color="auto"/>
        <w:bottom w:val="none" w:sz="0" w:space="0" w:color="auto"/>
        <w:right w:val="none" w:sz="0" w:space="0" w:color="auto"/>
      </w:divBdr>
    </w:div>
    <w:div w:id="597906520">
      <w:bodyDiv w:val="1"/>
      <w:marLeft w:val="0"/>
      <w:marRight w:val="0"/>
      <w:marTop w:val="0"/>
      <w:marBottom w:val="0"/>
      <w:divBdr>
        <w:top w:val="none" w:sz="0" w:space="0" w:color="auto"/>
        <w:left w:val="none" w:sz="0" w:space="0" w:color="auto"/>
        <w:bottom w:val="none" w:sz="0" w:space="0" w:color="auto"/>
        <w:right w:val="none" w:sz="0" w:space="0" w:color="auto"/>
      </w:divBdr>
    </w:div>
    <w:div w:id="847987352">
      <w:bodyDiv w:val="1"/>
      <w:marLeft w:val="0"/>
      <w:marRight w:val="0"/>
      <w:marTop w:val="0"/>
      <w:marBottom w:val="0"/>
      <w:divBdr>
        <w:top w:val="none" w:sz="0" w:space="0" w:color="auto"/>
        <w:left w:val="none" w:sz="0" w:space="0" w:color="auto"/>
        <w:bottom w:val="none" w:sz="0" w:space="0" w:color="auto"/>
        <w:right w:val="none" w:sz="0" w:space="0" w:color="auto"/>
      </w:divBdr>
    </w:div>
    <w:div w:id="916132066">
      <w:bodyDiv w:val="1"/>
      <w:marLeft w:val="0"/>
      <w:marRight w:val="0"/>
      <w:marTop w:val="0"/>
      <w:marBottom w:val="0"/>
      <w:divBdr>
        <w:top w:val="none" w:sz="0" w:space="0" w:color="auto"/>
        <w:left w:val="none" w:sz="0" w:space="0" w:color="auto"/>
        <w:bottom w:val="none" w:sz="0" w:space="0" w:color="auto"/>
        <w:right w:val="none" w:sz="0" w:space="0" w:color="auto"/>
      </w:divBdr>
    </w:div>
    <w:div w:id="934554153">
      <w:bodyDiv w:val="1"/>
      <w:marLeft w:val="0"/>
      <w:marRight w:val="0"/>
      <w:marTop w:val="0"/>
      <w:marBottom w:val="0"/>
      <w:divBdr>
        <w:top w:val="none" w:sz="0" w:space="0" w:color="auto"/>
        <w:left w:val="none" w:sz="0" w:space="0" w:color="auto"/>
        <w:bottom w:val="none" w:sz="0" w:space="0" w:color="auto"/>
        <w:right w:val="none" w:sz="0" w:space="0" w:color="auto"/>
      </w:divBdr>
    </w:div>
    <w:div w:id="1113094713">
      <w:bodyDiv w:val="1"/>
      <w:marLeft w:val="0"/>
      <w:marRight w:val="0"/>
      <w:marTop w:val="0"/>
      <w:marBottom w:val="0"/>
      <w:divBdr>
        <w:top w:val="none" w:sz="0" w:space="0" w:color="auto"/>
        <w:left w:val="none" w:sz="0" w:space="0" w:color="auto"/>
        <w:bottom w:val="none" w:sz="0" w:space="0" w:color="auto"/>
        <w:right w:val="none" w:sz="0" w:space="0" w:color="auto"/>
      </w:divBdr>
    </w:div>
    <w:div w:id="1121999276">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854876909">
      <w:bodyDiv w:val="1"/>
      <w:marLeft w:val="0"/>
      <w:marRight w:val="0"/>
      <w:marTop w:val="0"/>
      <w:marBottom w:val="0"/>
      <w:divBdr>
        <w:top w:val="none" w:sz="0" w:space="0" w:color="auto"/>
        <w:left w:val="none" w:sz="0" w:space="0" w:color="auto"/>
        <w:bottom w:val="none" w:sz="0" w:space="0" w:color="auto"/>
        <w:right w:val="none" w:sz="0" w:space="0" w:color="auto"/>
      </w:divBdr>
    </w:div>
    <w:div w:id="1881551712">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ecune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896</Words>
  <Characters>5147</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6031</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secunet Security Networks AG</dc:creator>
  <cp:lastModifiedBy>Gröber, Philipp</cp:lastModifiedBy>
  <cp:revision>19</cp:revision>
  <cp:lastPrinted>2022-10-18T12:40:00Z</cp:lastPrinted>
  <dcterms:created xsi:type="dcterms:W3CDTF">2022-10-20T08:48:00Z</dcterms:created>
  <dcterms:modified xsi:type="dcterms:W3CDTF">2022-11-04T10:47:00Z</dcterms:modified>
</cp:coreProperties>
</file>