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E4D" w:rsidRDefault="00CF7E47" w:rsidP="00BB0077">
      <w:pPr>
        <w:spacing w:after="360"/>
        <w:ind w:left="697" w:right="-2"/>
        <w:rPr>
          <w:rFonts w:ascii="Arial" w:hAnsi="Arial"/>
          <w:b/>
          <w:sz w:val="32"/>
          <w:lang w:val="da-DK"/>
        </w:rPr>
      </w:pPr>
      <w:r w:rsidRPr="00CF7E47">
        <w:rPr>
          <w:rFonts w:ascii="Arial" w:hAnsi="Arial"/>
          <w:b/>
          <w:sz w:val="32"/>
          <w:lang w:val="da-DK"/>
        </w:rPr>
        <w:t>secunet konnektor receives approval for the electronic health record - ePA</w:t>
      </w:r>
    </w:p>
    <w:p w:rsidR="00CF7E47" w:rsidRDefault="00617E4D" w:rsidP="00CF7E47">
      <w:pPr>
        <w:spacing w:after="120" w:line="360" w:lineRule="auto"/>
        <w:ind w:left="697"/>
        <w:jc w:val="both"/>
        <w:rPr>
          <w:rFonts w:ascii="Arial" w:hAnsi="Arial"/>
          <w:b/>
          <w:sz w:val="22"/>
          <w:lang w:val="da-DK"/>
        </w:rPr>
      </w:pPr>
      <w:r w:rsidRPr="009C1110">
        <w:rPr>
          <w:rFonts w:ascii="Arial" w:hAnsi="Arial"/>
          <w:b/>
          <w:i/>
          <w:sz w:val="22"/>
          <w:lang w:val="da-DK"/>
        </w:rPr>
        <w:t xml:space="preserve">[Essen, </w:t>
      </w:r>
      <w:r w:rsidR="00022305">
        <w:rPr>
          <w:rFonts w:ascii="Arial" w:hAnsi="Arial"/>
          <w:b/>
          <w:i/>
          <w:sz w:val="22"/>
          <w:lang w:val="da-DK"/>
        </w:rPr>
        <w:t>Ma</w:t>
      </w:r>
      <w:r w:rsidR="00A64510">
        <w:rPr>
          <w:rFonts w:ascii="Arial" w:hAnsi="Arial"/>
          <w:b/>
          <w:i/>
          <w:sz w:val="22"/>
          <w:lang w:val="da-DK"/>
        </w:rPr>
        <w:t>y</w:t>
      </w:r>
      <w:r w:rsidR="00022305">
        <w:rPr>
          <w:rFonts w:ascii="Arial" w:hAnsi="Arial"/>
          <w:b/>
          <w:i/>
          <w:sz w:val="22"/>
          <w:lang w:val="da-DK"/>
        </w:rPr>
        <w:t xml:space="preserve"> 7,</w:t>
      </w:r>
      <w:r w:rsidRPr="009C1110">
        <w:rPr>
          <w:rFonts w:ascii="Arial" w:hAnsi="Arial"/>
          <w:b/>
          <w:i/>
          <w:sz w:val="22"/>
          <w:lang w:val="da-DK"/>
        </w:rPr>
        <w:t xml:space="preserve"> 20</w:t>
      </w:r>
      <w:r w:rsidR="00E1733C">
        <w:rPr>
          <w:rFonts w:ascii="Arial" w:hAnsi="Arial"/>
          <w:b/>
          <w:i/>
          <w:sz w:val="22"/>
          <w:lang w:val="da-DK"/>
        </w:rPr>
        <w:t>2</w:t>
      </w:r>
      <w:r w:rsidR="001B2397">
        <w:rPr>
          <w:rFonts w:ascii="Arial" w:hAnsi="Arial"/>
          <w:b/>
          <w:i/>
          <w:sz w:val="22"/>
          <w:lang w:val="da-DK"/>
        </w:rPr>
        <w:t>1</w:t>
      </w:r>
      <w:r w:rsidRPr="009C1110">
        <w:rPr>
          <w:rFonts w:ascii="Arial" w:hAnsi="Arial"/>
          <w:b/>
          <w:i/>
          <w:sz w:val="22"/>
          <w:lang w:val="da-DK"/>
        </w:rPr>
        <w:t>]</w:t>
      </w:r>
      <w:r w:rsidRPr="009C1110">
        <w:rPr>
          <w:rFonts w:ascii="Arial" w:hAnsi="Arial"/>
          <w:b/>
          <w:sz w:val="22"/>
          <w:lang w:val="da-DK"/>
        </w:rPr>
        <w:t xml:space="preserve"> </w:t>
      </w:r>
      <w:r w:rsidR="00CF7E47" w:rsidRPr="00CF7E47">
        <w:rPr>
          <w:rFonts w:ascii="Arial" w:hAnsi="Arial"/>
          <w:b/>
          <w:sz w:val="22"/>
          <w:lang w:val="da-DK"/>
        </w:rPr>
        <w:t>secunet is the first provider to receive approval for the secunet konnektor in the telematics infrastructure for product type version 4 (PTV4), thus supporting the implementation of the electronic health record in broad use.</w:t>
      </w:r>
      <w:r w:rsidR="00CF7E47">
        <w:rPr>
          <w:rFonts w:ascii="Arial" w:hAnsi="Arial"/>
          <w:b/>
          <w:sz w:val="22"/>
          <w:lang w:val="da-DK"/>
        </w:rPr>
        <w:t xml:space="preserve"> </w:t>
      </w:r>
    </w:p>
    <w:p w:rsidR="00CF7E47" w:rsidRPr="00CF7E47" w:rsidRDefault="00CF7E47" w:rsidP="00CF7E47">
      <w:pPr>
        <w:spacing w:after="120" w:line="360" w:lineRule="auto"/>
        <w:ind w:left="697"/>
        <w:jc w:val="both"/>
        <w:rPr>
          <w:rFonts w:ascii="Arial" w:hAnsi="Arial"/>
          <w:b/>
          <w:sz w:val="22"/>
          <w:lang w:val="da-DK"/>
        </w:rPr>
      </w:pPr>
      <w:r w:rsidRPr="00CF7E47">
        <w:rPr>
          <w:rFonts w:ascii="Arial" w:hAnsi="Arial"/>
          <w:sz w:val="22"/>
          <w:lang w:val="en-GB"/>
        </w:rPr>
        <w:t xml:space="preserve">Back in January, secunet and its partner eHealth Experts launched a test phase with the upgrade for the electronic health record (ePA). In selected </w:t>
      </w:r>
      <w:r w:rsidR="00022305" w:rsidRPr="00022305">
        <w:rPr>
          <w:rFonts w:ascii="Arial" w:hAnsi="Arial"/>
          <w:sz w:val="22"/>
          <w:lang w:val="en-GB"/>
        </w:rPr>
        <w:t>doctors' offices</w:t>
      </w:r>
      <w:r w:rsidRPr="00CF7E47">
        <w:rPr>
          <w:rFonts w:ascii="Arial" w:hAnsi="Arial"/>
          <w:sz w:val="22"/>
          <w:lang w:val="en-GB"/>
        </w:rPr>
        <w:t xml:space="preserve"> and hospitals, the function and security of the connector was successfully demonstrated in accordance with gematik specifications.</w:t>
      </w:r>
    </w:p>
    <w:p w:rsidR="00CF7E47" w:rsidRPr="00CF7E47" w:rsidRDefault="00CF7E47" w:rsidP="00CF7E47">
      <w:pPr>
        <w:spacing w:after="60" w:line="360" w:lineRule="auto"/>
        <w:ind w:left="697"/>
        <w:jc w:val="both"/>
        <w:rPr>
          <w:rFonts w:ascii="Arial" w:hAnsi="Arial"/>
          <w:sz w:val="22"/>
          <w:lang w:val="en-GB"/>
        </w:rPr>
      </w:pPr>
      <w:r w:rsidRPr="00CF7E47">
        <w:rPr>
          <w:rFonts w:ascii="Arial" w:hAnsi="Arial"/>
          <w:sz w:val="22"/>
          <w:lang w:val="en-GB"/>
        </w:rPr>
        <w:t xml:space="preserve">The upgrade to PTV4 enables the use of the ePA in doctors' offices, pharmacies and hospitals. Thanks to the high market share of the secunet konnektor, a large number of healthcare providers can take the next digitization step after a short introductory phase. </w:t>
      </w:r>
    </w:p>
    <w:p w:rsidR="00CF7E47" w:rsidRPr="00CF7E47" w:rsidRDefault="00CF7E47" w:rsidP="00CF7E47">
      <w:pPr>
        <w:spacing w:after="60" w:line="360" w:lineRule="auto"/>
        <w:ind w:left="697"/>
        <w:jc w:val="both"/>
        <w:rPr>
          <w:rFonts w:ascii="Arial" w:hAnsi="Arial"/>
          <w:sz w:val="22"/>
          <w:lang w:val="en-GB"/>
        </w:rPr>
      </w:pPr>
      <w:r w:rsidRPr="00CF7E47">
        <w:rPr>
          <w:rFonts w:ascii="Arial" w:hAnsi="Arial"/>
          <w:sz w:val="22"/>
          <w:lang w:val="en-GB"/>
        </w:rPr>
        <w:t>"Although secunet entered the connector market late together with its partner eHealth Experts, we are of course all the more pleased that we have now been the first to receive approval for the ePA upgrade. For us, this is also confirmation of the quality of our work," explains Markus Linnemann, head of the eHealth division at secunet.</w:t>
      </w:r>
    </w:p>
    <w:p w:rsidR="00CF7E47" w:rsidRPr="00CF7E47" w:rsidRDefault="00CF7E47" w:rsidP="00CF7E47">
      <w:pPr>
        <w:spacing w:after="60" w:line="360" w:lineRule="auto"/>
        <w:ind w:left="697"/>
        <w:jc w:val="both"/>
        <w:rPr>
          <w:rFonts w:ascii="Arial" w:hAnsi="Arial"/>
          <w:sz w:val="22"/>
          <w:lang w:val="en-GB"/>
        </w:rPr>
      </w:pPr>
      <w:r w:rsidRPr="00CF7E47">
        <w:rPr>
          <w:rFonts w:ascii="Arial" w:hAnsi="Arial"/>
          <w:sz w:val="22"/>
          <w:lang w:val="en-GB"/>
        </w:rPr>
        <w:t>Doctors' offices and hospitals that are c</w:t>
      </w:r>
      <w:bookmarkStart w:id="0" w:name="_GoBack"/>
      <w:bookmarkEnd w:id="0"/>
      <w:r w:rsidRPr="00CF7E47">
        <w:rPr>
          <w:rFonts w:ascii="Arial" w:hAnsi="Arial"/>
          <w:sz w:val="22"/>
          <w:lang w:val="en-GB"/>
        </w:rPr>
        <w:t>onnected to the telematics infrastructure with the secunet konnektor will be able to install the upgrade for the secunet konnektor in the next few weeks. In combination with the respective software systems that support the ePA, the service providers will be ready for the electronic health record. Patients will then be able to work with their doctor to fill their ePA with data and documents.</w:t>
      </w:r>
    </w:p>
    <w:p w:rsidR="00CF7E47" w:rsidRPr="00CF7E47" w:rsidRDefault="00CF7E47" w:rsidP="00CF7E47">
      <w:pPr>
        <w:spacing w:after="60" w:line="360" w:lineRule="auto"/>
        <w:ind w:left="697"/>
        <w:jc w:val="both"/>
        <w:rPr>
          <w:rFonts w:ascii="Arial" w:hAnsi="Arial"/>
          <w:sz w:val="22"/>
          <w:lang w:val="en-GB"/>
        </w:rPr>
      </w:pPr>
      <w:r w:rsidRPr="00CF7E47">
        <w:rPr>
          <w:rFonts w:ascii="Arial" w:hAnsi="Arial"/>
          <w:sz w:val="22"/>
          <w:lang w:val="en-GB"/>
        </w:rPr>
        <w:t>The ePA upgrade is available for both designs the single box connector and the data center connector for large facilities.</w:t>
      </w:r>
    </w:p>
    <w:p w:rsidR="00CF7E47" w:rsidRPr="00CF7E47" w:rsidRDefault="00CF7E47" w:rsidP="00CF7E47">
      <w:pPr>
        <w:spacing w:after="60" w:line="360" w:lineRule="auto"/>
        <w:ind w:left="697"/>
        <w:jc w:val="both"/>
        <w:rPr>
          <w:rFonts w:ascii="Arial" w:hAnsi="Arial"/>
          <w:sz w:val="22"/>
          <w:lang w:val="en-GB"/>
        </w:rPr>
      </w:pPr>
    </w:p>
    <w:p w:rsidR="00022305" w:rsidRDefault="00022305" w:rsidP="00794803">
      <w:pPr>
        <w:pStyle w:val="Kopfzeile"/>
        <w:tabs>
          <w:tab w:val="clear" w:pos="4536"/>
          <w:tab w:val="clear" w:pos="9072"/>
        </w:tabs>
        <w:ind w:left="709" w:right="-2"/>
        <w:jc w:val="both"/>
        <w:rPr>
          <w:rFonts w:ascii="Arial" w:hAnsi="Arial" w:cs="Arial"/>
          <w:b/>
          <w:bCs/>
          <w:noProof/>
          <w:sz w:val="16"/>
          <w:szCs w:val="16"/>
          <w:lang w:val="en-GB"/>
        </w:rPr>
      </w:pPr>
      <w:bookmarkStart w:id="1" w:name="OLE_LINK1"/>
    </w:p>
    <w:p w:rsidR="00794803" w:rsidRPr="002B5223" w:rsidRDefault="00794803" w:rsidP="00794803">
      <w:pPr>
        <w:pStyle w:val="Kopfzeile"/>
        <w:tabs>
          <w:tab w:val="clear" w:pos="4536"/>
          <w:tab w:val="clear" w:pos="9072"/>
        </w:tabs>
        <w:ind w:left="709" w:right="-2"/>
        <w:jc w:val="both"/>
        <w:rPr>
          <w:rFonts w:ascii="Arial" w:hAnsi="Arial" w:cs="Arial"/>
          <w:b/>
          <w:bCs/>
          <w:noProof/>
          <w:sz w:val="16"/>
          <w:szCs w:val="16"/>
          <w:lang w:val="en-GB"/>
        </w:rPr>
      </w:pPr>
      <w:r w:rsidRPr="002B5223">
        <w:rPr>
          <w:rFonts w:ascii="Arial" w:hAnsi="Arial" w:cs="Arial"/>
          <w:b/>
          <w:bCs/>
          <w:noProof/>
          <w:sz w:val="16"/>
          <w:szCs w:val="16"/>
          <w:lang w:val="en-GB"/>
        </w:rPr>
        <w:lastRenderedPageBreak/>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w:t>
      </w:r>
      <w:r w:rsidR="00667FBE">
        <w:rPr>
          <w:rFonts w:ascii="Arial" w:hAnsi="Arial" w:cs="Arial"/>
          <w:noProof/>
          <w:color w:val="000000"/>
          <w:sz w:val="16"/>
          <w:szCs w:val="16"/>
          <w:lang w:val="en-GB"/>
        </w:rPr>
        <w:t>ma</w:t>
      </w:r>
      <w:r>
        <w:rPr>
          <w:rFonts w:ascii="Arial" w:hAnsi="Arial" w:cs="Arial"/>
          <w:noProof/>
          <w:color w:val="000000"/>
          <w:sz w:val="16"/>
          <w:szCs w:val="16"/>
          <w:lang w:val="en-GB"/>
        </w:rPr>
        <w:t>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A64510"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A64510">
        <w:rPr>
          <w:rFonts w:ascii="Arial" w:hAnsi="Arial" w:cs="Arial"/>
          <w:noProof/>
          <w:color w:val="000000"/>
          <w:sz w:val="16"/>
          <w:szCs w:val="16"/>
          <w:lang w:val="en-US"/>
        </w:rPr>
        <w:t>secunet Security Networks AG</w:t>
      </w:r>
    </w:p>
    <w:p w:rsidR="00794803" w:rsidRPr="00F7578C" w:rsidRDefault="00AC7B5E"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7578C">
        <w:rPr>
          <w:rFonts w:ascii="Arial" w:hAnsi="Arial" w:cs="Arial"/>
          <w:noProof/>
          <w:color w:val="000000"/>
          <w:sz w:val="16"/>
          <w:szCs w:val="16"/>
        </w:rPr>
        <w:t>Kurfürstenstraße 58</w:t>
      </w:r>
    </w:p>
    <w:p w:rsidR="00794803" w:rsidRPr="00A64510"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A64510">
        <w:rPr>
          <w:rFonts w:ascii="Arial" w:hAnsi="Arial" w:cs="Arial"/>
          <w:noProof/>
          <w:color w:val="000000"/>
          <w:sz w:val="16"/>
          <w:szCs w:val="16"/>
        </w:rPr>
        <w:t>451</w:t>
      </w:r>
      <w:r w:rsidR="00AC7B5E" w:rsidRPr="00A64510">
        <w:rPr>
          <w:rFonts w:ascii="Arial" w:hAnsi="Arial" w:cs="Arial"/>
          <w:noProof/>
          <w:color w:val="000000"/>
          <w:sz w:val="16"/>
          <w:szCs w:val="16"/>
        </w:rPr>
        <w:t>3</w:t>
      </w:r>
      <w:r w:rsidRPr="00A64510">
        <w:rPr>
          <w:rFonts w:ascii="Arial" w:hAnsi="Arial" w:cs="Arial"/>
          <w:noProof/>
          <w:color w:val="000000"/>
          <w:sz w:val="16"/>
          <w:szCs w:val="16"/>
        </w:rPr>
        <w:t>8 Essen/Germany</w:t>
      </w:r>
    </w:p>
    <w:p w:rsidR="00794803" w:rsidRPr="00A64510"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A64510">
        <w:rPr>
          <w:rFonts w:ascii="Arial" w:hAnsi="Arial" w:cs="Arial"/>
          <w:noProof/>
          <w:color w:val="000000"/>
          <w:sz w:val="16"/>
          <w:szCs w:val="16"/>
        </w:rPr>
        <w:t>Phone</w:t>
      </w:r>
      <w:r w:rsidR="002F7ED8" w:rsidRPr="00A64510">
        <w:rPr>
          <w:rFonts w:ascii="Arial" w:hAnsi="Arial" w:cs="Arial"/>
          <w:noProof/>
          <w:color w:val="000000"/>
          <w:sz w:val="16"/>
          <w:szCs w:val="16"/>
        </w:rPr>
        <w:t xml:space="preserve"> </w:t>
      </w:r>
      <w:r w:rsidR="009F6A2A" w:rsidRPr="00A64510">
        <w:rPr>
          <w:rFonts w:ascii="Arial" w:hAnsi="Arial" w:cs="Arial"/>
          <w:noProof/>
          <w:color w:val="000000"/>
          <w:sz w:val="16"/>
          <w:szCs w:val="16"/>
        </w:rPr>
        <w:t>+49 201 54 54-1234</w:t>
      </w:r>
    </w:p>
    <w:p w:rsidR="00794803" w:rsidRPr="00A64510"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A64510">
        <w:rPr>
          <w:rFonts w:ascii="Arial" w:hAnsi="Arial" w:cs="Arial"/>
          <w:noProof/>
          <w:color w:val="000000"/>
          <w:sz w:val="16"/>
          <w:szCs w:val="16"/>
        </w:rPr>
        <w:t xml:space="preserve">Fax </w:t>
      </w:r>
      <w:r w:rsidR="009F6A2A" w:rsidRPr="00A64510">
        <w:rPr>
          <w:rFonts w:ascii="Arial" w:hAnsi="Arial" w:cs="Arial"/>
          <w:noProof/>
          <w:color w:val="000000"/>
          <w:sz w:val="16"/>
          <w:szCs w:val="16"/>
        </w:rPr>
        <w:t>+49 201 54 54-1235</w:t>
      </w:r>
    </w:p>
    <w:p w:rsidR="00794803" w:rsidRPr="00A64510"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A64510">
        <w:rPr>
          <w:rFonts w:ascii="Arial" w:hAnsi="Arial" w:cs="Arial"/>
          <w:noProof/>
          <w:color w:val="000000"/>
          <w:sz w:val="16"/>
          <w:szCs w:val="16"/>
        </w:rPr>
        <w:t xml:space="preserve">E-mail: </w:t>
      </w:r>
      <w:hyperlink r:id="rId7" w:history="1">
        <w:r w:rsidRPr="00A64510">
          <w:rPr>
            <w:rStyle w:val="Hyperlink"/>
            <w:rFonts w:ascii="Arial" w:hAnsi="Arial" w:cs="Arial"/>
            <w:noProof/>
            <w:sz w:val="16"/>
            <w:szCs w:val="16"/>
          </w:rPr>
          <w:t>presse@secunet.com</w:t>
        </w:r>
      </w:hyperlink>
    </w:p>
    <w:p w:rsidR="00794803" w:rsidRPr="006F7207" w:rsidRDefault="00022305" w:rsidP="00794803">
      <w:pPr>
        <w:ind w:left="708"/>
      </w:pPr>
      <w:hyperlink r:id="rId8" w:history="1">
        <w:r w:rsidR="00794803" w:rsidRPr="006F7207">
          <w:rPr>
            <w:rStyle w:val="Hyperlink"/>
            <w:rFonts w:ascii="Arial" w:hAnsi="Arial" w:cs="Arial"/>
            <w:noProof/>
            <w:sz w:val="16"/>
            <w:szCs w:val="16"/>
          </w:rPr>
          <w:t>http://www.secunet.com</w:t>
        </w:r>
      </w:hyperlink>
    </w:p>
    <w:bookmarkEnd w:id="1"/>
    <w:p w:rsidR="00B40872" w:rsidRPr="006F7207"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794803" w:rsidRPr="006F7207"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067B90" w:rsidRPr="006F7207"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D84129" w:rsidRPr="00D84129" w:rsidRDefault="00D84129" w:rsidP="00D84129">
      <w:pPr>
        <w:pStyle w:val="Kopfzeile"/>
        <w:ind w:left="709" w:right="-2"/>
        <w:rPr>
          <w:rFonts w:ascii="Arial" w:hAnsi="Arial" w:cs="Arial"/>
          <w:b/>
          <w:bCs/>
          <w:noProof/>
          <w:sz w:val="16"/>
          <w:szCs w:val="16"/>
          <w:lang w:val="en-GB"/>
        </w:rPr>
      </w:pPr>
      <w:r w:rsidRPr="00D84129">
        <w:rPr>
          <w:rFonts w:ascii="Arial" w:hAnsi="Arial" w:cs="Arial"/>
          <w:b/>
          <w:bCs/>
          <w:noProof/>
          <w:sz w:val="16"/>
          <w:szCs w:val="16"/>
          <w:lang w:val="en-GB"/>
        </w:rPr>
        <w:t>secunet – Protecting Digital Infrastructures</w:t>
      </w:r>
    </w:p>
    <w:p w:rsidR="00D84129" w:rsidRDefault="00D84129" w:rsidP="00D84129">
      <w:pPr>
        <w:pStyle w:val="Kopfzeile"/>
        <w:ind w:left="709" w:right="-2"/>
        <w:jc w:val="both"/>
        <w:rPr>
          <w:rFonts w:ascii="Arial" w:hAnsi="Arial" w:cs="Arial"/>
          <w:bCs/>
          <w:noProof/>
          <w:sz w:val="16"/>
          <w:szCs w:val="16"/>
          <w:lang w:val="en-GB"/>
        </w:rPr>
      </w:pPr>
    </w:p>
    <w:p w:rsidR="00D84129" w:rsidRPr="00D84129" w:rsidRDefault="00D84129" w:rsidP="00D84129">
      <w:pPr>
        <w:pStyle w:val="Kopfzeile"/>
        <w:ind w:left="709" w:right="-2"/>
        <w:jc w:val="both"/>
        <w:rPr>
          <w:rFonts w:ascii="Arial" w:hAnsi="Arial" w:cs="Arial"/>
          <w:bCs/>
          <w:noProof/>
          <w:sz w:val="16"/>
          <w:szCs w:val="16"/>
          <w:lang w:val="en-GB"/>
        </w:rPr>
      </w:pPr>
      <w:r w:rsidRPr="00D84129">
        <w:rPr>
          <w:rFonts w:ascii="Arial" w:hAnsi="Arial" w:cs="Arial"/>
          <w:bCs/>
          <w:noProof/>
          <w:sz w:val="16"/>
          <w:szCs w:val="16"/>
          <w:lang w:val="en-GB"/>
        </w:rPr>
        <w:t xml:space="preserve">In an increasingly networked world, Germany's leading cyber security company, secunet offers a combination of products and consulting services, robust digital infrastructures and the highest level of security for data, applications and digital identities. secunet specializes in areas with unique security requirements, like the cloud, IIoT, </w:t>
      </w:r>
      <w:r w:rsidR="0045789B">
        <w:rPr>
          <w:rFonts w:ascii="Arial" w:hAnsi="Arial" w:cs="Arial"/>
          <w:bCs/>
          <w:noProof/>
          <w:sz w:val="16"/>
          <w:szCs w:val="16"/>
          <w:lang w:val="en-GB"/>
        </w:rPr>
        <w:t>eGovernment</w:t>
      </w:r>
      <w:r w:rsidRPr="00D84129">
        <w:rPr>
          <w:rFonts w:ascii="Arial" w:hAnsi="Arial" w:cs="Arial"/>
          <w:bCs/>
          <w:noProof/>
          <w:sz w:val="16"/>
          <w:szCs w:val="16"/>
          <w:lang w:val="en-GB"/>
        </w:rPr>
        <w:t xml:space="preserve"> and eHealth. With secunet's security solutions, companies can comply with the highest security standards in digitization projects and advance their digital transformation.</w:t>
      </w:r>
    </w:p>
    <w:p w:rsidR="00D84129" w:rsidRDefault="00D84129" w:rsidP="00D84129">
      <w:pPr>
        <w:pStyle w:val="Kopfzeile"/>
        <w:ind w:left="709" w:right="-2"/>
        <w:jc w:val="both"/>
        <w:rPr>
          <w:rFonts w:ascii="Arial" w:hAnsi="Arial" w:cs="Arial"/>
          <w:bCs/>
          <w:noProof/>
          <w:sz w:val="16"/>
          <w:szCs w:val="16"/>
          <w:lang w:val="en-GB"/>
        </w:rPr>
      </w:pPr>
    </w:p>
    <w:p w:rsidR="00D84129" w:rsidRPr="00D84129" w:rsidRDefault="00D84129" w:rsidP="00D84129">
      <w:pPr>
        <w:pStyle w:val="Kopfzeile"/>
        <w:ind w:left="709" w:right="-2"/>
        <w:jc w:val="both"/>
        <w:rPr>
          <w:rFonts w:ascii="Arial" w:hAnsi="Arial" w:cs="Arial"/>
          <w:bCs/>
          <w:noProof/>
          <w:sz w:val="16"/>
          <w:szCs w:val="16"/>
          <w:lang w:val="en-GB"/>
        </w:rPr>
      </w:pPr>
      <w:r w:rsidRPr="00D84129">
        <w:rPr>
          <w:rFonts w:ascii="Arial" w:hAnsi="Arial" w:cs="Arial"/>
          <w:bCs/>
          <w:noProof/>
          <w:sz w:val="16"/>
          <w:szCs w:val="16"/>
          <w:lang w:val="en-GB"/>
        </w:rPr>
        <w:t xml:space="preserve">More than 700 experts strengthen the digital sovereignty of governments, businesses and society. secunet's customers include German federal ministries, national and international organizations and more than 20 DAX-listed corporations. The company was </w:t>
      </w:r>
      <w:r w:rsidR="006F7207">
        <w:rPr>
          <w:rFonts w:ascii="Arial" w:hAnsi="Arial" w:cs="Arial"/>
          <w:bCs/>
          <w:noProof/>
          <w:sz w:val="16"/>
          <w:szCs w:val="16"/>
          <w:lang w:val="en-GB"/>
        </w:rPr>
        <w:t>established in 1997, is listed i</w:t>
      </w:r>
      <w:r w:rsidRPr="00D84129">
        <w:rPr>
          <w:rFonts w:ascii="Arial" w:hAnsi="Arial" w:cs="Arial"/>
          <w:bCs/>
          <w:noProof/>
          <w:sz w:val="16"/>
          <w:szCs w:val="16"/>
          <w:lang w:val="en-GB"/>
        </w:rPr>
        <w:t xml:space="preserve">n the </w:t>
      </w:r>
      <w:r w:rsidR="006F7207">
        <w:rPr>
          <w:rFonts w:ascii="Arial" w:hAnsi="Arial" w:cs="Arial"/>
          <w:bCs/>
          <w:noProof/>
          <w:sz w:val="16"/>
          <w:szCs w:val="16"/>
          <w:lang w:val="en-GB"/>
        </w:rPr>
        <w:t>Prime Standard segment of the Frankfurt Stock Exchange</w:t>
      </w:r>
      <w:r w:rsidRPr="00D84129">
        <w:rPr>
          <w:rFonts w:ascii="Arial" w:hAnsi="Arial" w:cs="Arial"/>
          <w:bCs/>
          <w:noProof/>
          <w:sz w:val="16"/>
          <w:szCs w:val="16"/>
          <w:lang w:val="en-GB"/>
        </w:rPr>
        <w:t xml:space="preserve"> and generated revenues of</w:t>
      </w:r>
      <w:r w:rsidR="008637A4">
        <w:rPr>
          <w:rFonts w:ascii="Arial" w:hAnsi="Arial" w:cs="Arial"/>
          <w:bCs/>
          <w:noProof/>
          <w:sz w:val="16"/>
          <w:szCs w:val="16"/>
          <w:lang w:val="en-GB"/>
        </w:rPr>
        <w:t xml:space="preserve"> </w:t>
      </w:r>
      <w:r w:rsidR="00A054A6">
        <w:rPr>
          <w:rFonts w:ascii="Arial" w:hAnsi="Arial" w:cs="Arial"/>
          <w:bCs/>
          <w:noProof/>
          <w:sz w:val="16"/>
          <w:szCs w:val="16"/>
          <w:lang w:val="en-GB"/>
        </w:rPr>
        <w:t xml:space="preserve">around </w:t>
      </w:r>
      <w:r w:rsidR="00BB5049">
        <w:rPr>
          <w:rFonts w:ascii="Arial" w:hAnsi="Arial" w:cs="Arial"/>
          <w:bCs/>
          <w:noProof/>
          <w:sz w:val="16"/>
          <w:szCs w:val="16"/>
          <w:lang w:val="en-GB"/>
        </w:rPr>
        <w:t>285 million euros in 2020</w:t>
      </w:r>
      <w:r w:rsidRPr="00D84129">
        <w:rPr>
          <w:rFonts w:ascii="Arial" w:hAnsi="Arial" w:cs="Arial"/>
          <w:bCs/>
          <w:noProof/>
          <w:sz w:val="16"/>
          <w:szCs w:val="16"/>
          <w:lang w:val="en-GB"/>
        </w:rPr>
        <w:t>.</w:t>
      </w:r>
    </w:p>
    <w:p w:rsidR="00D84129" w:rsidRDefault="00D84129" w:rsidP="00D84129">
      <w:pPr>
        <w:pStyle w:val="Kopfzeile"/>
        <w:ind w:left="709" w:right="-2"/>
        <w:jc w:val="both"/>
        <w:rPr>
          <w:rFonts w:ascii="Arial" w:hAnsi="Arial" w:cs="Arial"/>
          <w:bCs/>
          <w:noProof/>
          <w:sz w:val="16"/>
          <w:szCs w:val="16"/>
          <w:lang w:val="en-GB"/>
        </w:rPr>
      </w:pPr>
    </w:p>
    <w:p w:rsidR="00D84129" w:rsidRPr="00D84129" w:rsidRDefault="00D84129" w:rsidP="00D84129">
      <w:pPr>
        <w:pStyle w:val="Kopfzeile"/>
        <w:ind w:left="709" w:right="-2"/>
        <w:jc w:val="both"/>
        <w:rPr>
          <w:rFonts w:ascii="Arial" w:hAnsi="Arial" w:cs="Arial"/>
          <w:bCs/>
          <w:noProof/>
          <w:sz w:val="16"/>
          <w:szCs w:val="16"/>
          <w:lang w:val="en-GB"/>
        </w:rPr>
      </w:pPr>
      <w:r w:rsidRPr="00D84129">
        <w:rPr>
          <w:rFonts w:ascii="Arial" w:hAnsi="Arial" w:cs="Arial"/>
          <w:bCs/>
          <w:noProof/>
          <w:sz w:val="16"/>
          <w:szCs w:val="16"/>
          <w:lang w:val="en-GB"/>
        </w:rPr>
        <w:t>secunet is IT security partner of the Federal Republic of Germany and a partner of the Alliance for Cyber Security.</w:t>
      </w:r>
    </w:p>
    <w:p w:rsidR="00D84129" w:rsidRDefault="00D84129" w:rsidP="00B40872">
      <w:pPr>
        <w:pStyle w:val="Kopfzeile"/>
        <w:tabs>
          <w:tab w:val="clear" w:pos="4536"/>
          <w:tab w:val="clear" w:pos="9072"/>
        </w:tabs>
        <w:ind w:left="709" w:right="-2"/>
        <w:rPr>
          <w:rFonts w:ascii="Arial" w:hAnsi="Arial" w:cs="Arial"/>
          <w:b/>
          <w:bCs/>
          <w:noProof/>
          <w:sz w:val="16"/>
          <w:szCs w:val="16"/>
          <w:lang w:val="en-GB"/>
        </w:rPr>
      </w:pPr>
    </w:p>
    <w:p w:rsidR="0091402E" w:rsidRPr="00490DD3" w:rsidRDefault="003F102E" w:rsidP="00052C88">
      <w:pPr>
        <w:ind w:left="709"/>
        <w:jc w:val="both"/>
        <w:rPr>
          <w:rFonts w:ascii="Arial" w:hAnsi="Arial"/>
          <w:i/>
          <w:sz w:val="16"/>
          <w:lang w:val="en-US"/>
        </w:rPr>
      </w:pPr>
      <w:r w:rsidRPr="003F102E">
        <w:rPr>
          <w:rFonts w:ascii="Arial" w:hAnsi="Arial"/>
          <w:i/>
          <w:sz w:val="16"/>
          <w:lang w:val="en-GB"/>
        </w:rPr>
        <w:t xml:space="preserve">Further information can be found at </w:t>
      </w:r>
      <w:hyperlink r:id="rId9" w:history="1">
        <w:r w:rsidR="00BC0934" w:rsidRPr="000E7C04">
          <w:rPr>
            <w:rStyle w:val="Hyperlink"/>
            <w:rFonts w:ascii="Arial" w:hAnsi="Arial"/>
            <w:i/>
            <w:sz w:val="16"/>
            <w:lang w:val="en-GB"/>
          </w:rPr>
          <w:t>www.secunet.com</w:t>
        </w:r>
      </w:hyperlink>
    </w:p>
    <w:p w:rsidR="00575FB4" w:rsidRDefault="00575FB4" w:rsidP="00052C88">
      <w:pPr>
        <w:ind w:left="709"/>
        <w:jc w:val="both"/>
        <w:rPr>
          <w:rFonts w:ascii="Arial" w:hAnsi="Arial"/>
          <w:sz w:val="16"/>
          <w:lang w:val="en-GB"/>
        </w:rPr>
      </w:pPr>
    </w:p>
    <w:p w:rsidR="00575FB4" w:rsidRDefault="00575FB4" w:rsidP="00052C88">
      <w:pPr>
        <w:ind w:left="709"/>
        <w:jc w:val="both"/>
        <w:rPr>
          <w:rFonts w:ascii="Arial" w:hAnsi="Arial"/>
          <w:sz w:val="16"/>
          <w:lang w:val="en-GB"/>
        </w:rPr>
      </w:pPr>
    </w:p>
    <w:p w:rsidR="00575FB4" w:rsidRDefault="00575FB4" w:rsidP="00052C88">
      <w:pPr>
        <w:ind w:left="709"/>
        <w:jc w:val="both"/>
        <w:rPr>
          <w:rFonts w:ascii="Arial" w:hAnsi="Arial"/>
          <w:sz w:val="16"/>
          <w:lang w:val="en-GB"/>
        </w:rPr>
      </w:pPr>
    </w:p>
    <w:sectPr w:rsidR="00575FB4">
      <w:headerReference w:type="default" r:id="rId10"/>
      <w:footerReference w:type="even" r:id="rId11"/>
      <w:footerReference w:type="default" r:id="rId12"/>
      <w:headerReference w:type="first" r:id="rId13"/>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3B6" w:rsidRDefault="002213B6">
      <w:r>
        <w:separator/>
      </w:r>
    </w:p>
  </w:endnote>
  <w:endnote w:type="continuationSeparator" w:id="0">
    <w:p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022305">
      <w:rPr>
        <w:rStyle w:val="Seitenzahl"/>
        <w:rFonts w:ascii="Arial" w:hAnsi="Arial" w:cs="Arial"/>
        <w:noProof/>
        <w:sz w:val="22"/>
      </w:rPr>
      <w:t>2</w:t>
    </w:r>
    <w:r w:rsidRPr="008B2AB7">
      <w:rPr>
        <w:rStyle w:val="Seitenzahl"/>
        <w:rFonts w:ascii="Arial" w:hAnsi="Arial" w:cs="Arial"/>
        <w:sz w:val="22"/>
      </w:rPr>
      <w:fldChar w:fldCharType="end"/>
    </w:r>
    <w:r w:rsidRPr="008B2AB7">
      <w:rPr>
        <w:rStyle w:val="Seitenzahl"/>
        <w:rFonts w:ascii="Arial" w:hAnsi="Arial" w:cs="Arial"/>
        <w:sz w:val="22"/>
      </w:rPr>
      <w:t xml:space="preserve"> </w:t>
    </w:r>
    <w:r>
      <w:rPr>
        <w:rStyle w:val="Seitenzahl"/>
        <w:rFonts w:ascii="Arial" w:hAnsi="Arial" w:cs="Arial"/>
        <w:sz w:val="22"/>
      </w:rPr>
      <w:t>of</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022305">
      <w:rPr>
        <w:rStyle w:val="Seitenzahl"/>
        <w:rFonts w:ascii="Arial" w:hAnsi="Arial" w:cs="Arial"/>
        <w:noProof/>
        <w:sz w:val="22"/>
      </w:rPr>
      <w:t>2</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E30CF3">
    <w:pPr>
      <w:pStyle w:val="Fuzeile"/>
    </w:pPr>
    <w:r>
      <w:rPr>
        <w:noProof/>
      </w:rPr>
      <w:drawing>
        <wp:anchor distT="0" distB="0" distL="114300" distR="114300" simplePos="0" relativeHeight="251658240" behindDoc="1" locked="0" layoutInCell="1" allowOverlap="1" wp14:anchorId="4626D1DF" wp14:editId="5A4E1F58">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021549D1" wp14:editId="05BD780C">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3B6" w:rsidRDefault="002213B6">
      <w:r>
        <w:separator/>
      </w:r>
    </w:p>
  </w:footnote>
  <w:footnote w:type="continuationSeparator" w:id="0">
    <w:p w:rsidR="002213B6" w:rsidRDefault="00221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D8" w:rsidRDefault="00A054A6" w:rsidP="00BE5AED">
    <w:pPr>
      <w:pStyle w:val="Kopfzeile"/>
      <w:spacing w:before="1600" w:after="480"/>
      <w:ind w:left="709" w:right="1418"/>
      <w:rPr>
        <w:rFonts w:ascii="Arial" w:hAnsi="Arial"/>
        <w:sz w:val="32"/>
      </w:rPr>
    </w:pPr>
    <w:r>
      <w:rPr>
        <w:noProof/>
      </w:rPr>
      <w:drawing>
        <wp:anchor distT="0" distB="0" distL="114300" distR="114300" simplePos="0" relativeHeight="251659264" behindDoc="0" locked="0" layoutInCell="1" allowOverlap="1" wp14:anchorId="243FEFAC" wp14:editId="43DA592C">
          <wp:simplePos x="0" y="0"/>
          <wp:positionH relativeFrom="page">
            <wp:posOffset>5205730</wp:posOffset>
          </wp:positionH>
          <wp:positionV relativeFrom="page">
            <wp:posOffset>0</wp:posOffset>
          </wp:positionV>
          <wp:extent cx="2340000" cy="903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UNET Titellogo.wmf"/>
                  <pic:cNvPicPr/>
                </pic:nvPicPr>
                <pic:blipFill>
                  <a:blip r:embed="rId1">
                    <a:extLst>
                      <a:ext uri="{28A0092B-C50C-407E-A947-70E740481C1C}">
                        <a14:useLocalDpi xmlns:a14="http://schemas.microsoft.com/office/drawing/2010/main" val="0"/>
                      </a:ext>
                    </a:extLst>
                  </a:blip>
                  <a:stretch>
                    <a:fillRect/>
                  </a:stretch>
                </pic:blipFill>
                <pic:spPr>
                  <a:xfrm>
                    <a:off x="0" y="0"/>
                    <a:ext cx="2340000" cy="903600"/>
                  </a:xfrm>
                  <a:prstGeom prst="rect">
                    <a:avLst/>
                  </a:prstGeom>
                </pic:spPr>
              </pic:pic>
            </a:graphicData>
          </a:graphic>
          <wp14:sizeRelH relativeFrom="margin">
            <wp14:pctWidth>0</wp14:pctWidth>
          </wp14:sizeRelH>
          <wp14:sizeRelV relativeFrom="margin">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22305"/>
    <w:rsid w:val="000228D8"/>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5FA2"/>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397"/>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1F65A0"/>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56EF"/>
    <w:rsid w:val="002B6798"/>
    <w:rsid w:val="002B7415"/>
    <w:rsid w:val="002B74CD"/>
    <w:rsid w:val="002B7517"/>
    <w:rsid w:val="002B77CF"/>
    <w:rsid w:val="002C43F6"/>
    <w:rsid w:val="002C71FE"/>
    <w:rsid w:val="002D10EB"/>
    <w:rsid w:val="002D5168"/>
    <w:rsid w:val="002D7361"/>
    <w:rsid w:val="002D7E98"/>
    <w:rsid w:val="002E1EC0"/>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0D59"/>
    <w:rsid w:val="003211BC"/>
    <w:rsid w:val="00321896"/>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102E"/>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5789B"/>
    <w:rsid w:val="004609B9"/>
    <w:rsid w:val="00463FC9"/>
    <w:rsid w:val="00464FF2"/>
    <w:rsid w:val="0047702A"/>
    <w:rsid w:val="00482AB0"/>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17C2B"/>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059B"/>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0F4"/>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67FBE"/>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6F7207"/>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26CCE"/>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0F7"/>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637A4"/>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C7A"/>
    <w:rsid w:val="008E6F68"/>
    <w:rsid w:val="008E77A7"/>
    <w:rsid w:val="008E7CDD"/>
    <w:rsid w:val="008F0521"/>
    <w:rsid w:val="008F05AB"/>
    <w:rsid w:val="008F56BA"/>
    <w:rsid w:val="008F5F0B"/>
    <w:rsid w:val="009011A1"/>
    <w:rsid w:val="00903B33"/>
    <w:rsid w:val="00903D2E"/>
    <w:rsid w:val="00905F06"/>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7ECA"/>
    <w:rsid w:val="00960C85"/>
    <w:rsid w:val="0096268D"/>
    <w:rsid w:val="009638CC"/>
    <w:rsid w:val="009653B9"/>
    <w:rsid w:val="00966782"/>
    <w:rsid w:val="00970019"/>
    <w:rsid w:val="00977144"/>
    <w:rsid w:val="0099012B"/>
    <w:rsid w:val="00990B33"/>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1CB"/>
    <w:rsid w:val="009E53EB"/>
    <w:rsid w:val="009E5A33"/>
    <w:rsid w:val="009E680A"/>
    <w:rsid w:val="009F0A9E"/>
    <w:rsid w:val="009F3DF2"/>
    <w:rsid w:val="009F45AA"/>
    <w:rsid w:val="009F47EB"/>
    <w:rsid w:val="009F64FF"/>
    <w:rsid w:val="009F6A2A"/>
    <w:rsid w:val="00A00036"/>
    <w:rsid w:val="00A035D2"/>
    <w:rsid w:val="00A054A6"/>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64510"/>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B5E"/>
    <w:rsid w:val="00AC7DE6"/>
    <w:rsid w:val="00AD0BA6"/>
    <w:rsid w:val="00AD2A4F"/>
    <w:rsid w:val="00AD533E"/>
    <w:rsid w:val="00AD6AC0"/>
    <w:rsid w:val="00AE4F0E"/>
    <w:rsid w:val="00AE5B5F"/>
    <w:rsid w:val="00AF0206"/>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5049"/>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66FC3"/>
    <w:rsid w:val="00C748B6"/>
    <w:rsid w:val="00C85050"/>
    <w:rsid w:val="00C8751D"/>
    <w:rsid w:val="00C87A6E"/>
    <w:rsid w:val="00C9036C"/>
    <w:rsid w:val="00C96FE6"/>
    <w:rsid w:val="00C974A8"/>
    <w:rsid w:val="00C974F4"/>
    <w:rsid w:val="00CA3C1D"/>
    <w:rsid w:val="00CA41FA"/>
    <w:rsid w:val="00CB15B1"/>
    <w:rsid w:val="00CB4162"/>
    <w:rsid w:val="00CB54A9"/>
    <w:rsid w:val="00CC45BB"/>
    <w:rsid w:val="00CD3EC7"/>
    <w:rsid w:val="00CE3DB9"/>
    <w:rsid w:val="00CF1ECD"/>
    <w:rsid w:val="00CF5DD4"/>
    <w:rsid w:val="00CF7E47"/>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4129"/>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33C"/>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6BA6"/>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78C"/>
    <w:rsid w:val="00F75F81"/>
    <w:rsid w:val="00F77FE0"/>
    <w:rsid w:val="00F82358"/>
    <w:rsid w:val="00F83B5D"/>
    <w:rsid w:val="00F8451F"/>
    <w:rsid w:val="00F84D66"/>
    <w:rsid w:val="00F85EC1"/>
    <w:rsid w:val="00F85FA0"/>
    <w:rsid w:val="00F915D8"/>
    <w:rsid w:val="00F92446"/>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648C"/>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48B6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VERWALTUNG\verwaltung\Verwaltung\Marketing\_Intern\neue%20Laufwerkstruktur\PR%20(Christine,%20Patrick)\2014\Pressemeldungen\Final\presse@secune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cunet.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3399</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2021-05-07T10:48:00Z</dcterms:created>
  <dcterms:modified xsi:type="dcterms:W3CDTF">2021-05-07T10:48:00Z</dcterms:modified>
</cp:coreProperties>
</file>