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EB" w:rsidRPr="00471FEB" w:rsidRDefault="00471FEB" w:rsidP="00471FEB">
      <w:pPr>
        <w:spacing w:after="120"/>
        <w:ind w:left="697"/>
        <w:rPr>
          <w:rFonts w:ascii="Arial" w:hAnsi="Arial"/>
          <w:b/>
          <w:sz w:val="32"/>
          <w:lang w:val="da-DK"/>
        </w:rPr>
      </w:pPr>
      <w:r w:rsidRPr="00471FEB">
        <w:rPr>
          <w:rFonts w:ascii="Arial" w:hAnsi="Arial"/>
          <w:b/>
          <w:sz w:val="32"/>
          <w:lang w:val="da-DK"/>
        </w:rPr>
        <w:t>secunet takes on the HJP Consulting eID testing business unit</w:t>
      </w:r>
    </w:p>
    <w:p w:rsidR="00617E4D" w:rsidRPr="00471FEB" w:rsidRDefault="00E80A71" w:rsidP="00471FEB">
      <w:pPr>
        <w:spacing w:after="360"/>
        <w:ind w:left="697" w:right="-2"/>
        <w:rPr>
          <w:rFonts w:ascii="Arial" w:hAnsi="Arial"/>
          <w:b/>
          <w:sz w:val="22"/>
          <w:lang w:val="da-DK"/>
        </w:rPr>
      </w:pPr>
      <w:r>
        <w:rPr>
          <w:rFonts w:ascii="Arial" w:hAnsi="Arial"/>
          <w:b/>
          <w:sz w:val="22"/>
          <w:lang w:val="da-DK"/>
        </w:rPr>
        <w:t>D</w:t>
      </w:r>
      <w:r w:rsidR="00471FEB" w:rsidRPr="00471FEB">
        <w:rPr>
          <w:rFonts w:ascii="Arial" w:hAnsi="Arial"/>
          <w:b/>
          <w:sz w:val="22"/>
          <w:lang w:val="da-DK"/>
        </w:rPr>
        <w:t>ivision</w:t>
      </w:r>
      <w:r>
        <w:rPr>
          <w:rFonts w:ascii="Arial" w:hAnsi="Arial"/>
          <w:b/>
          <w:sz w:val="22"/>
          <w:lang w:val="da-DK"/>
        </w:rPr>
        <w:t xml:space="preserve"> Homeland Security</w:t>
      </w:r>
      <w:r w:rsidR="00471FEB" w:rsidRPr="00471FEB">
        <w:rPr>
          <w:rFonts w:ascii="Arial" w:hAnsi="Arial"/>
          <w:b/>
          <w:sz w:val="22"/>
          <w:lang w:val="da-DK"/>
        </w:rPr>
        <w:t xml:space="preserve"> strengthens its eID expertise</w:t>
      </w:r>
    </w:p>
    <w:p w:rsidR="00617E4D" w:rsidRPr="00471FEB"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471FEB">
        <w:rPr>
          <w:rFonts w:ascii="Arial" w:hAnsi="Arial"/>
          <w:b/>
          <w:i/>
          <w:sz w:val="22"/>
          <w:lang w:val="da-DK"/>
        </w:rPr>
        <w:t>/Borchen, Germany</w:t>
      </w:r>
      <w:r w:rsidRPr="009C1110">
        <w:rPr>
          <w:rFonts w:ascii="Arial" w:hAnsi="Arial"/>
          <w:b/>
          <w:i/>
          <w:sz w:val="22"/>
          <w:lang w:val="da-DK"/>
        </w:rPr>
        <w:t xml:space="preserve">, </w:t>
      </w:r>
      <w:r w:rsidR="00471FEB">
        <w:rPr>
          <w:rFonts w:ascii="Arial" w:hAnsi="Arial"/>
          <w:b/>
          <w:i/>
          <w:sz w:val="22"/>
          <w:lang w:val="da-DK"/>
        </w:rPr>
        <w:t>20</w:t>
      </w:r>
      <w:r w:rsidRPr="009C1110">
        <w:rPr>
          <w:rFonts w:ascii="Arial" w:hAnsi="Arial"/>
          <w:b/>
          <w:i/>
          <w:sz w:val="22"/>
          <w:lang w:val="da-DK"/>
        </w:rPr>
        <w:t xml:space="preserve"> </w:t>
      </w:r>
      <w:r w:rsidR="00471FEB">
        <w:rPr>
          <w:rFonts w:ascii="Arial" w:hAnsi="Arial"/>
          <w:b/>
          <w:i/>
          <w:sz w:val="22"/>
          <w:lang w:val="da-DK"/>
        </w:rPr>
        <w:t>September</w:t>
      </w:r>
      <w:r w:rsidRPr="009C1110">
        <w:rPr>
          <w:rFonts w:ascii="Arial" w:hAnsi="Arial"/>
          <w:b/>
          <w:i/>
          <w:sz w:val="22"/>
          <w:lang w:val="da-DK"/>
        </w:rPr>
        <w:t xml:space="preserve"> 20</w:t>
      </w:r>
      <w:r w:rsidR="00FB08CA" w:rsidRPr="009C1110">
        <w:rPr>
          <w:rFonts w:ascii="Arial" w:hAnsi="Arial"/>
          <w:b/>
          <w:i/>
          <w:sz w:val="22"/>
          <w:lang w:val="da-DK"/>
        </w:rPr>
        <w:t>1</w:t>
      </w:r>
      <w:r w:rsidR="006500F4">
        <w:rPr>
          <w:rFonts w:ascii="Arial" w:hAnsi="Arial"/>
          <w:b/>
          <w:i/>
          <w:sz w:val="22"/>
          <w:lang w:val="da-DK"/>
        </w:rPr>
        <w:t>6</w:t>
      </w:r>
      <w:r w:rsidRPr="009C1110">
        <w:rPr>
          <w:rFonts w:ascii="Arial" w:hAnsi="Arial"/>
          <w:b/>
          <w:i/>
          <w:sz w:val="22"/>
          <w:lang w:val="da-DK"/>
        </w:rPr>
        <w:t>]</w:t>
      </w:r>
      <w:r w:rsidRPr="009C1110">
        <w:rPr>
          <w:rFonts w:ascii="Arial" w:hAnsi="Arial"/>
          <w:b/>
          <w:sz w:val="22"/>
          <w:lang w:val="da-DK"/>
        </w:rPr>
        <w:t xml:space="preserve"> </w:t>
      </w:r>
      <w:r w:rsidR="00471FEB" w:rsidRPr="00471FEB">
        <w:rPr>
          <w:rFonts w:ascii="Arial" w:hAnsi="Arial"/>
          <w:b/>
          <w:sz w:val="22"/>
          <w:lang w:val="da-DK"/>
        </w:rPr>
        <w:t xml:space="preserve">secunet is expanding its core expertise in the </w:t>
      </w:r>
      <w:r w:rsidR="00E80A71">
        <w:rPr>
          <w:rFonts w:ascii="Arial" w:hAnsi="Arial"/>
          <w:b/>
          <w:sz w:val="22"/>
          <w:lang w:val="da-DK"/>
        </w:rPr>
        <w:t xml:space="preserve">Homeland </w:t>
      </w:r>
      <w:r w:rsidR="00471FEB" w:rsidRPr="00471FEB">
        <w:rPr>
          <w:rFonts w:ascii="Arial" w:hAnsi="Arial"/>
          <w:b/>
          <w:sz w:val="22"/>
          <w:lang w:val="da-DK"/>
        </w:rPr>
        <w:t>Security division. To do so, the Company is acquiring a business unit from HJP Consulting, based in Borchen, North Rhine-Westphalia. With this partial transfer of operations, secunet will be taking on experts in electronic identity documents (eID), whilst also bringing on board the test tool GlobalTester, used for examining eIDs, and continuing to develop it.</w:t>
      </w:r>
    </w:p>
    <w:p w:rsidR="00471FEB" w:rsidRPr="00471FEB" w:rsidRDefault="00471FEB" w:rsidP="00471FEB">
      <w:pPr>
        <w:spacing w:after="60" w:line="360" w:lineRule="auto"/>
        <w:ind w:left="697"/>
        <w:jc w:val="both"/>
        <w:rPr>
          <w:rFonts w:ascii="Arial" w:hAnsi="Arial"/>
          <w:sz w:val="22"/>
          <w:lang w:val="en-GB"/>
        </w:rPr>
      </w:pPr>
      <w:proofErr w:type="gramStart"/>
      <w:r w:rsidRPr="00471FEB">
        <w:rPr>
          <w:rFonts w:ascii="Arial" w:hAnsi="Arial"/>
          <w:sz w:val="22"/>
          <w:lang w:val="en-GB"/>
        </w:rPr>
        <w:t>secunet</w:t>
      </w:r>
      <w:proofErr w:type="gramEnd"/>
      <w:r w:rsidRPr="00471FEB">
        <w:rPr>
          <w:rFonts w:ascii="Arial" w:hAnsi="Arial"/>
          <w:sz w:val="22"/>
          <w:lang w:val="en-GB"/>
        </w:rPr>
        <w:t xml:space="preserve"> is therefore targeting and strengthening its </w:t>
      </w:r>
      <w:r w:rsidR="00E80A71">
        <w:rPr>
          <w:rFonts w:ascii="Arial" w:hAnsi="Arial"/>
          <w:sz w:val="22"/>
          <w:lang w:val="en-GB"/>
        </w:rPr>
        <w:t xml:space="preserve">Homeland </w:t>
      </w:r>
      <w:r w:rsidRPr="00471FEB">
        <w:rPr>
          <w:rFonts w:ascii="Arial" w:hAnsi="Arial"/>
          <w:sz w:val="22"/>
          <w:lang w:val="en-GB"/>
        </w:rPr>
        <w:t xml:space="preserve">Security division with specialists in electronic identity documents. Employees from a section of HJP Consulting will provide extensive expertise in the safeguarding and review of eIDs and, with their knowledge, represent a fantastic addition to the activities of the </w:t>
      </w:r>
      <w:r w:rsidR="00E80A71">
        <w:rPr>
          <w:rFonts w:ascii="Arial" w:hAnsi="Arial"/>
          <w:sz w:val="22"/>
          <w:lang w:val="en-GB"/>
        </w:rPr>
        <w:t xml:space="preserve">Homeland </w:t>
      </w:r>
      <w:r w:rsidRPr="00471FEB">
        <w:rPr>
          <w:rFonts w:ascii="Arial" w:hAnsi="Arial"/>
          <w:sz w:val="22"/>
          <w:lang w:val="en-GB"/>
        </w:rPr>
        <w:t>Security division.</w:t>
      </w:r>
    </w:p>
    <w:p w:rsidR="00471FEB" w:rsidRPr="00471FEB" w:rsidRDefault="00471FEB" w:rsidP="00471FEB">
      <w:pPr>
        <w:spacing w:after="60" w:line="360" w:lineRule="auto"/>
        <w:ind w:left="697"/>
        <w:jc w:val="both"/>
        <w:rPr>
          <w:rFonts w:ascii="Arial" w:hAnsi="Arial"/>
          <w:sz w:val="22"/>
          <w:lang w:val="en-GB"/>
        </w:rPr>
      </w:pPr>
      <w:proofErr w:type="gramStart"/>
      <w:r w:rsidRPr="00471FEB">
        <w:rPr>
          <w:rFonts w:ascii="Arial" w:hAnsi="Arial"/>
          <w:sz w:val="22"/>
          <w:lang w:val="en-GB"/>
        </w:rPr>
        <w:t>secunet</w:t>
      </w:r>
      <w:proofErr w:type="gramEnd"/>
      <w:r w:rsidRPr="00471FEB">
        <w:rPr>
          <w:rFonts w:ascii="Arial" w:hAnsi="Arial"/>
          <w:sz w:val="22"/>
          <w:lang w:val="en-GB"/>
        </w:rPr>
        <w:t xml:space="preserve"> will be adding </w:t>
      </w:r>
      <w:proofErr w:type="spellStart"/>
      <w:r w:rsidRPr="00471FEB">
        <w:rPr>
          <w:rFonts w:ascii="Arial" w:hAnsi="Arial"/>
          <w:sz w:val="22"/>
          <w:lang w:val="en-GB"/>
        </w:rPr>
        <w:t>GlobalTester</w:t>
      </w:r>
      <w:proofErr w:type="spellEnd"/>
      <w:r w:rsidRPr="00471FEB">
        <w:rPr>
          <w:rFonts w:ascii="Arial" w:hAnsi="Arial"/>
          <w:sz w:val="22"/>
          <w:lang w:val="en-GB"/>
        </w:rPr>
        <w:t xml:space="preserve"> to its range of test software. This product is used for comprehensively reviewing the compliance of chip cards, and in particular of eIDs, as well as corresponding </w:t>
      </w:r>
      <w:r w:rsidR="00E80A71">
        <w:rPr>
          <w:rFonts w:ascii="Arial" w:hAnsi="Arial"/>
          <w:sz w:val="22"/>
          <w:lang w:val="en-GB"/>
        </w:rPr>
        <w:t>readers</w:t>
      </w:r>
      <w:r w:rsidRPr="00471FEB">
        <w:rPr>
          <w:rFonts w:ascii="Arial" w:hAnsi="Arial"/>
          <w:sz w:val="22"/>
          <w:lang w:val="en-GB"/>
        </w:rPr>
        <w:t xml:space="preserve">. This means that two globally recognised test suites for eIDs will be bundled at secunet in the form of the secunet Golden Reader Tool and </w:t>
      </w:r>
      <w:proofErr w:type="spellStart"/>
      <w:r w:rsidRPr="00471FEB">
        <w:rPr>
          <w:rFonts w:ascii="Arial" w:hAnsi="Arial"/>
          <w:sz w:val="22"/>
          <w:lang w:val="en-GB"/>
        </w:rPr>
        <w:t>GlobalTester</w:t>
      </w:r>
      <w:proofErr w:type="spellEnd"/>
      <w:r w:rsidRPr="00471FEB">
        <w:rPr>
          <w:rFonts w:ascii="Arial" w:hAnsi="Arial"/>
          <w:sz w:val="22"/>
          <w:lang w:val="en-GB"/>
        </w:rPr>
        <w:t>.</w:t>
      </w:r>
    </w:p>
    <w:p w:rsidR="00471FEB" w:rsidRPr="00471FEB" w:rsidRDefault="00471FEB" w:rsidP="00471FEB">
      <w:pPr>
        <w:spacing w:after="60" w:line="360" w:lineRule="auto"/>
        <w:ind w:left="697"/>
        <w:jc w:val="both"/>
        <w:rPr>
          <w:rFonts w:ascii="Arial" w:hAnsi="Arial"/>
          <w:sz w:val="22"/>
          <w:lang w:val="en-GB"/>
        </w:rPr>
      </w:pPr>
      <w:r w:rsidRPr="00471FEB">
        <w:rPr>
          <w:rFonts w:ascii="Arial" w:hAnsi="Arial"/>
          <w:sz w:val="22"/>
          <w:lang w:val="en-GB"/>
        </w:rPr>
        <w:t xml:space="preserve">With the partial transfer of operations (the acquisition of part of a company), secunet will also obtain new premises in </w:t>
      </w:r>
      <w:proofErr w:type="spellStart"/>
      <w:r w:rsidRPr="00471FEB">
        <w:rPr>
          <w:rFonts w:ascii="Arial" w:hAnsi="Arial"/>
          <w:sz w:val="22"/>
          <w:lang w:val="en-GB"/>
        </w:rPr>
        <w:t>Borchen</w:t>
      </w:r>
      <w:proofErr w:type="spellEnd"/>
      <w:r w:rsidRPr="00471FEB">
        <w:rPr>
          <w:rFonts w:ascii="Arial" w:hAnsi="Arial"/>
          <w:sz w:val="22"/>
          <w:lang w:val="en-GB"/>
        </w:rPr>
        <w:t xml:space="preserve">, North Rhine-Westphalia. This is a sign of </w:t>
      </w:r>
      <w:proofErr w:type="spellStart"/>
      <w:r w:rsidRPr="00471FEB">
        <w:rPr>
          <w:rFonts w:ascii="Arial" w:hAnsi="Arial"/>
          <w:sz w:val="22"/>
          <w:lang w:val="en-GB"/>
        </w:rPr>
        <w:t>secunet's</w:t>
      </w:r>
      <w:proofErr w:type="spellEnd"/>
      <w:r w:rsidRPr="00471FEB">
        <w:rPr>
          <w:rFonts w:ascii="Arial" w:hAnsi="Arial"/>
          <w:sz w:val="22"/>
          <w:lang w:val="en-GB"/>
        </w:rPr>
        <w:t xml:space="preserve"> commitment to the strong IT region around Paderborn, whilst also creating an opportunity for further growth.</w:t>
      </w:r>
    </w:p>
    <w:p w:rsidR="00617E4D" w:rsidRPr="00617E4D" w:rsidRDefault="00471FEB" w:rsidP="00471FEB">
      <w:pPr>
        <w:spacing w:after="60" w:line="360" w:lineRule="auto"/>
        <w:ind w:left="697"/>
        <w:jc w:val="both"/>
        <w:rPr>
          <w:rFonts w:ascii="Arial" w:hAnsi="Arial"/>
          <w:sz w:val="22"/>
          <w:lang w:val="en-GB"/>
        </w:rPr>
      </w:pPr>
      <w:r w:rsidRPr="00471FEB">
        <w:rPr>
          <w:rFonts w:ascii="Arial" w:hAnsi="Arial"/>
          <w:sz w:val="22"/>
          <w:lang w:val="en-GB"/>
        </w:rPr>
        <w:t xml:space="preserve">HJP Consulting will continue to concentrate on its consultancy business in eIDs, biometrics and PKI/PKD solutions. It intends to focus the further expansion of its government consultancy services on </w:t>
      </w:r>
      <w:r w:rsidRPr="00471FEB">
        <w:rPr>
          <w:rFonts w:ascii="Arial" w:hAnsi="Arial"/>
          <w:sz w:val="22"/>
          <w:lang w:val="en-GB"/>
        </w:rPr>
        <w:lastRenderedPageBreak/>
        <w:t>planning, putting out to tender and approving complex IT systems to clients in the Middle East in particular.</w:t>
      </w:r>
      <w:r w:rsidR="00617E4D" w:rsidRPr="00617E4D">
        <w:rPr>
          <w:rFonts w:ascii="Arial" w:hAnsi="Arial"/>
          <w:sz w:val="22"/>
          <w:lang w:val="en-GB"/>
        </w:rPr>
        <w:t xml:space="preserve"> </w:t>
      </w:r>
    </w:p>
    <w:p w:rsidR="00617E4D" w:rsidRPr="00FB08CA" w:rsidRDefault="00617E4D" w:rsidP="00617E4D">
      <w:pPr>
        <w:ind w:left="708"/>
        <w:rPr>
          <w:rFonts w:ascii="Arial" w:hAnsi="Arial"/>
          <w:sz w:val="16"/>
          <w:lang w:val="en-GB"/>
        </w:rPr>
      </w:pPr>
    </w:p>
    <w:p w:rsidR="00471FEB" w:rsidRPr="00471FEB" w:rsidRDefault="00B40872" w:rsidP="00471FEB">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bookmarkStart w:id="0" w:name="OLE_LINK1"/>
      <w:r w:rsidR="00DB307E">
        <w:rPr>
          <w:rFonts w:ascii="Arial" w:hAnsi="Arial" w:cs="Arial"/>
          <w:noProof/>
          <w:color w:val="000000"/>
          <w:sz w:val="16"/>
          <w:szCs w:val="16"/>
          <w:lang w:val="en-GB"/>
        </w:rPr>
        <w:t>1,893</w:t>
      </w:r>
    </w:p>
    <w:p w:rsidR="00471FEB" w:rsidRDefault="00471FEB" w:rsidP="00794803">
      <w:pPr>
        <w:pStyle w:val="Kopfzeile"/>
        <w:tabs>
          <w:tab w:val="clear" w:pos="4536"/>
          <w:tab w:val="clear" w:pos="9072"/>
        </w:tabs>
        <w:ind w:left="709" w:right="-2"/>
        <w:jc w:val="both"/>
        <w:rPr>
          <w:rFonts w:ascii="Arial" w:hAnsi="Arial" w:cs="Arial"/>
          <w:b/>
          <w:bCs/>
          <w:noProof/>
          <w:sz w:val="16"/>
          <w:szCs w:val="16"/>
          <w:lang w:val="en-GB"/>
        </w:rPr>
      </w:pPr>
    </w:p>
    <w:p w:rsidR="00471FEB" w:rsidRDefault="00471FEB" w:rsidP="00794803">
      <w:pPr>
        <w:pStyle w:val="Kopfzeile"/>
        <w:tabs>
          <w:tab w:val="clear" w:pos="4536"/>
          <w:tab w:val="clear" w:pos="9072"/>
        </w:tabs>
        <w:ind w:left="709" w:right="-2"/>
        <w:jc w:val="both"/>
        <w:rPr>
          <w:rFonts w:ascii="Arial" w:hAnsi="Arial" w:cs="Arial"/>
          <w:b/>
          <w:bCs/>
          <w:noProof/>
          <w:sz w:val="16"/>
          <w:szCs w:val="16"/>
          <w:lang w:val="en-GB"/>
        </w:rPr>
      </w:pPr>
    </w:p>
    <w:p w:rsidR="00471FEB" w:rsidRDefault="00471FEB" w:rsidP="00794803">
      <w:pPr>
        <w:pStyle w:val="Kopfzeile"/>
        <w:tabs>
          <w:tab w:val="clear" w:pos="4536"/>
          <w:tab w:val="clear" w:pos="9072"/>
        </w:tabs>
        <w:ind w:left="709" w:right="-2"/>
        <w:jc w:val="both"/>
        <w:rPr>
          <w:rFonts w:ascii="Arial" w:hAnsi="Arial" w:cs="Arial"/>
          <w:b/>
          <w:bCs/>
          <w:noProof/>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E80A71"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E80A71">
        <w:rPr>
          <w:rFonts w:ascii="Arial" w:hAnsi="Arial" w:cs="Arial"/>
          <w:noProof/>
          <w:color w:val="000000"/>
          <w:sz w:val="16"/>
          <w:szCs w:val="16"/>
          <w:lang w:val="en-US"/>
        </w:rPr>
        <w:t>secunet Security Networks AG</w:t>
      </w:r>
    </w:p>
    <w:p w:rsidR="00794803" w:rsidRPr="00406164"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06164">
        <w:rPr>
          <w:rFonts w:ascii="Arial" w:hAnsi="Arial" w:cs="Arial"/>
          <w:noProof/>
          <w:color w:val="000000"/>
          <w:sz w:val="16"/>
          <w:szCs w:val="16"/>
        </w:rPr>
        <w:t>Kurfürstenstraße 58</w:t>
      </w:r>
    </w:p>
    <w:p w:rsidR="00794803" w:rsidRPr="00E80A71"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E80A71">
        <w:rPr>
          <w:rFonts w:ascii="Arial" w:hAnsi="Arial" w:cs="Arial"/>
          <w:noProof/>
          <w:color w:val="000000"/>
          <w:sz w:val="16"/>
          <w:szCs w:val="16"/>
        </w:rPr>
        <w:t>451</w:t>
      </w:r>
      <w:r w:rsidR="00AC7B5E" w:rsidRPr="00E80A71">
        <w:rPr>
          <w:rFonts w:ascii="Arial" w:hAnsi="Arial" w:cs="Arial"/>
          <w:noProof/>
          <w:color w:val="000000"/>
          <w:sz w:val="16"/>
          <w:szCs w:val="16"/>
        </w:rPr>
        <w:t>3</w:t>
      </w:r>
      <w:r w:rsidRPr="00E80A71">
        <w:rPr>
          <w:rFonts w:ascii="Arial" w:hAnsi="Arial" w:cs="Arial"/>
          <w:noProof/>
          <w:color w:val="000000"/>
          <w:sz w:val="16"/>
          <w:szCs w:val="16"/>
        </w:rPr>
        <w:t>8 Essen/Germany</w:t>
      </w:r>
    </w:p>
    <w:p w:rsidR="00794803" w:rsidRPr="00E80A71"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E80A71">
        <w:rPr>
          <w:rFonts w:ascii="Arial" w:hAnsi="Arial" w:cs="Arial"/>
          <w:noProof/>
          <w:color w:val="000000"/>
          <w:sz w:val="16"/>
          <w:szCs w:val="16"/>
        </w:rPr>
        <w:t>Phone</w:t>
      </w:r>
      <w:r w:rsidR="002F7ED8" w:rsidRPr="00E80A71">
        <w:rPr>
          <w:rFonts w:ascii="Arial" w:hAnsi="Arial" w:cs="Arial"/>
          <w:noProof/>
          <w:color w:val="000000"/>
          <w:sz w:val="16"/>
          <w:szCs w:val="16"/>
        </w:rPr>
        <w:t xml:space="preserve"> </w:t>
      </w:r>
      <w:r w:rsidR="009F6A2A" w:rsidRPr="00E80A71">
        <w:rPr>
          <w:rFonts w:ascii="Arial" w:hAnsi="Arial" w:cs="Arial"/>
          <w:noProof/>
          <w:color w:val="000000"/>
          <w:sz w:val="16"/>
          <w:szCs w:val="16"/>
        </w:rPr>
        <w:t>+49 201 54 54-1234</w:t>
      </w:r>
    </w:p>
    <w:p w:rsidR="00794803" w:rsidRPr="00E80A71"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E80A71">
        <w:rPr>
          <w:rFonts w:ascii="Arial" w:hAnsi="Arial" w:cs="Arial"/>
          <w:noProof/>
          <w:color w:val="000000"/>
          <w:sz w:val="16"/>
          <w:szCs w:val="16"/>
        </w:rPr>
        <w:t xml:space="preserve">Fax </w:t>
      </w:r>
      <w:r w:rsidR="009F6A2A" w:rsidRPr="00E80A71">
        <w:rPr>
          <w:rFonts w:ascii="Arial" w:hAnsi="Arial" w:cs="Arial"/>
          <w:noProof/>
          <w:color w:val="000000"/>
          <w:sz w:val="16"/>
          <w:szCs w:val="16"/>
        </w:rPr>
        <w:t>+49 201 54 54-1235</w:t>
      </w:r>
    </w:p>
    <w:p w:rsidR="00794803" w:rsidRPr="00E80A71"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E80A71">
        <w:rPr>
          <w:rFonts w:ascii="Arial" w:hAnsi="Arial" w:cs="Arial"/>
          <w:noProof/>
          <w:color w:val="000000"/>
          <w:sz w:val="16"/>
          <w:szCs w:val="16"/>
        </w:rPr>
        <w:t xml:space="preserve">E-mail: </w:t>
      </w:r>
      <w:hyperlink r:id="rId8" w:history="1">
        <w:r w:rsidRPr="00E80A71">
          <w:rPr>
            <w:rStyle w:val="Hyperlink"/>
            <w:rFonts w:ascii="Arial" w:hAnsi="Arial" w:cs="Arial"/>
            <w:noProof/>
            <w:sz w:val="16"/>
            <w:szCs w:val="16"/>
          </w:rPr>
          <w:t>presse@secunet.com</w:t>
        </w:r>
      </w:hyperlink>
      <w:bookmarkStart w:id="1" w:name="_GoBack"/>
      <w:bookmarkEnd w:id="1"/>
    </w:p>
    <w:p w:rsidR="00794803" w:rsidRPr="00E80A71" w:rsidRDefault="00CC06DC" w:rsidP="00794803">
      <w:pPr>
        <w:ind w:left="708"/>
      </w:pPr>
      <w:hyperlink r:id="rId9" w:history="1">
        <w:r w:rsidR="00794803" w:rsidRPr="00E80A71">
          <w:rPr>
            <w:rStyle w:val="Hyperlink"/>
            <w:rFonts w:ascii="Arial" w:hAnsi="Arial" w:cs="Arial"/>
            <w:noProof/>
            <w:sz w:val="16"/>
            <w:szCs w:val="16"/>
          </w:rPr>
          <w:t>http://www.secunet.com</w:t>
        </w:r>
      </w:hyperlink>
    </w:p>
    <w:bookmarkEnd w:id="0"/>
    <w:p w:rsidR="00B40872" w:rsidRPr="00E80A71"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E80A71"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E80A71"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E648C">
        <w:rPr>
          <w:rFonts w:ascii="Arial" w:hAnsi="Arial" w:cs="Arial"/>
          <w:bCs/>
          <w:noProof/>
          <w:sz w:val="16"/>
          <w:szCs w:val="16"/>
          <w:lang w:val="en-GB"/>
        </w:rPr>
        <w:t>38</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464FF2">
        <w:rPr>
          <w:rFonts w:ascii="Arial" w:hAnsi="Arial" w:cs="Arial"/>
          <w:bCs/>
          <w:noProof/>
          <w:sz w:val="16"/>
          <w:szCs w:val="16"/>
          <w:lang w:val="en-GB"/>
        </w:rPr>
        <w:t>91.1</w:t>
      </w:r>
      <w:r w:rsidRPr="00142107">
        <w:rPr>
          <w:rFonts w:ascii="Arial" w:hAnsi="Arial" w:cs="Arial"/>
          <w:bCs/>
          <w:noProof/>
          <w:sz w:val="16"/>
          <w:szCs w:val="16"/>
          <w:lang w:val="en-GB"/>
        </w:rPr>
        <w:t xml:space="preserve"> million in 201</w:t>
      </w:r>
      <w:r w:rsidR="00905F06">
        <w:rPr>
          <w:rFonts w:ascii="Arial" w:hAnsi="Arial" w:cs="Arial"/>
          <w:bCs/>
          <w:noProof/>
          <w:sz w:val="16"/>
          <w:szCs w:val="16"/>
          <w:lang w:val="en-GB"/>
        </w:rPr>
        <w:t>5</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406164" w:rsidRDefault="00406164" w:rsidP="00052C88">
      <w:pPr>
        <w:ind w:left="709"/>
        <w:jc w:val="both"/>
        <w:rPr>
          <w:rFonts w:ascii="Arial" w:hAnsi="Arial"/>
          <w:sz w:val="16"/>
          <w:lang w:val="en-GB"/>
        </w:rPr>
      </w:pPr>
    </w:p>
    <w:p w:rsidR="00406164" w:rsidRDefault="00406164" w:rsidP="00052C88">
      <w:pPr>
        <w:ind w:left="709"/>
        <w:jc w:val="both"/>
        <w:rPr>
          <w:rFonts w:ascii="Arial" w:hAnsi="Arial"/>
          <w:sz w:val="16"/>
          <w:lang w:val="en-GB"/>
        </w:rPr>
      </w:pPr>
    </w:p>
    <w:p w:rsidR="00406164" w:rsidRPr="00406164" w:rsidRDefault="00406164" w:rsidP="00406164">
      <w:pPr>
        <w:ind w:left="709"/>
        <w:jc w:val="both"/>
        <w:rPr>
          <w:rFonts w:ascii="Arial" w:hAnsi="Arial"/>
          <w:b/>
          <w:sz w:val="16"/>
          <w:lang w:val="en-US"/>
        </w:rPr>
      </w:pPr>
      <w:r w:rsidRPr="00406164">
        <w:rPr>
          <w:rFonts w:ascii="Arial" w:hAnsi="Arial"/>
          <w:b/>
          <w:sz w:val="16"/>
          <w:lang w:val="en-US"/>
        </w:rPr>
        <w:t>About HJP Consulting</w:t>
      </w:r>
    </w:p>
    <w:p w:rsidR="00406164" w:rsidRPr="00406164" w:rsidRDefault="00406164" w:rsidP="00406164">
      <w:pPr>
        <w:ind w:left="709"/>
        <w:jc w:val="both"/>
        <w:rPr>
          <w:rFonts w:ascii="Arial" w:hAnsi="Arial"/>
          <w:sz w:val="16"/>
          <w:lang w:val="en-US"/>
        </w:rPr>
      </w:pPr>
    </w:p>
    <w:p w:rsidR="00406164" w:rsidRPr="00406164" w:rsidRDefault="00406164" w:rsidP="00406164">
      <w:pPr>
        <w:ind w:left="709"/>
        <w:jc w:val="both"/>
        <w:rPr>
          <w:rFonts w:ascii="Arial" w:hAnsi="Arial"/>
          <w:sz w:val="16"/>
          <w:lang w:val="en-US"/>
        </w:rPr>
      </w:pPr>
      <w:r w:rsidRPr="00406164">
        <w:rPr>
          <w:rFonts w:ascii="Arial" w:hAnsi="Arial"/>
          <w:sz w:val="16"/>
          <w:lang w:val="en-US"/>
        </w:rPr>
        <w:t xml:space="preserve">HJP Consulting is an internationally active consulting firm specializing in the planning of complex eID projects. The experts of HJP Consulting advise government clients worldwide in major projects for the introduction of electronic ID documents, ID cards and border control systems. </w:t>
      </w:r>
    </w:p>
    <w:p w:rsidR="00406164" w:rsidRPr="00406164" w:rsidRDefault="00406164" w:rsidP="00406164">
      <w:pPr>
        <w:ind w:left="709"/>
        <w:jc w:val="both"/>
        <w:rPr>
          <w:rFonts w:ascii="Arial" w:hAnsi="Arial"/>
          <w:sz w:val="16"/>
          <w:lang w:val="en-US"/>
        </w:rPr>
      </w:pPr>
      <w:r w:rsidRPr="00406164">
        <w:rPr>
          <w:rFonts w:ascii="Arial" w:hAnsi="Arial"/>
          <w:sz w:val="16"/>
          <w:lang w:val="en-US"/>
        </w:rPr>
        <w:t xml:space="preserve">The HJP team has played a key role in the planning of electronic passport projects in Germany, United Kingdom, </w:t>
      </w:r>
      <w:proofErr w:type="gramStart"/>
      <w:r w:rsidRPr="00406164">
        <w:rPr>
          <w:rFonts w:ascii="Arial" w:hAnsi="Arial"/>
          <w:sz w:val="16"/>
          <w:lang w:val="en-US"/>
        </w:rPr>
        <w:t>the</w:t>
      </w:r>
      <w:proofErr w:type="gramEnd"/>
      <w:r w:rsidRPr="00406164">
        <w:rPr>
          <w:rFonts w:ascii="Arial" w:hAnsi="Arial"/>
          <w:sz w:val="16"/>
          <w:lang w:val="en-US"/>
        </w:rPr>
        <w:t xml:space="preserve"> United Arab Emirates, Sudan, Oman and other states. Customers benefit from the long-term expertise of HJP in future topics, such as biometrics and PKI.</w:t>
      </w:r>
    </w:p>
    <w:p w:rsidR="00406164" w:rsidRPr="00406164" w:rsidRDefault="00406164" w:rsidP="00406164">
      <w:pPr>
        <w:ind w:left="709"/>
        <w:jc w:val="both"/>
        <w:rPr>
          <w:rFonts w:ascii="Arial" w:hAnsi="Arial"/>
          <w:sz w:val="16"/>
          <w:lang w:val="en-US"/>
        </w:rPr>
      </w:pPr>
    </w:p>
    <w:p w:rsidR="00575FB4" w:rsidRPr="00406164" w:rsidRDefault="00406164" w:rsidP="00406164">
      <w:pPr>
        <w:ind w:left="709"/>
        <w:jc w:val="both"/>
        <w:rPr>
          <w:rFonts w:ascii="Arial" w:hAnsi="Arial"/>
          <w:i/>
          <w:sz w:val="16"/>
          <w:lang w:val="en-US"/>
        </w:rPr>
      </w:pPr>
      <w:r w:rsidRPr="00406164">
        <w:rPr>
          <w:rFonts w:ascii="Arial" w:hAnsi="Arial"/>
          <w:i/>
          <w:sz w:val="16"/>
          <w:lang w:val="en-US"/>
        </w:rPr>
        <w:t xml:space="preserve">For more information, please visit </w:t>
      </w:r>
      <w:hyperlink r:id="rId11" w:history="1">
        <w:r w:rsidRPr="00C64A28">
          <w:rPr>
            <w:rStyle w:val="Hyperlink"/>
            <w:rFonts w:ascii="Arial" w:hAnsi="Arial"/>
            <w:i/>
            <w:sz w:val="16"/>
            <w:lang w:val="en-US"/>
          </w:rPr>
          <w:t>www.hjp-consulting.com</w:t>
        </w:r>
      </w:hyperlink>
      <w:r w:rsidRPr="00406164">
        <w:rPr>
          <w:rFonts w:ascii="Arial" w:hAnsi="Arial"/>
          <w:i/>
          <w:sz w:val="16"/>
          <w:lang w:val="en-US"/>
        </w:rPr>
        <w:t>.</w:t>
      </w:r>
      <w:r>
        <w:rPr>
          <w:rFonts w:ascii="Arial" w:hAnsi="Arial"/>
          <w:i/>
          <w:sz w:val="16"/>
          <w:lang w:val="en-US"/>
        </w:rPr>
        <w:t xml:space="preserve"> </w:t>
      </w:r>
    </w:p>
    <w:p w:rsidR="00575FB4" w:rsidRDefault="00575FB4" w:rsidP="00052C88">
      <w:pPr>
        <w:ind w:left="709"/>
        <w:jc w:val="both"/>
        <w:rPr>
          <w:rFonts w:ascii="Arial" w:hAnsi="Arial"/>
          <w:sz w:val="16"/>
          <w:lang w:val="en-GB"/>
        </w:rPr>
      </w:pPr>
    </w:p>
    <w:sectPr w:rsidR="00575FB4">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CC06DC">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CC06DC">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2F7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406164" w:rsidP="00BE5AED">
    <w:pPr>
      <w:pStyle w:val="Kopfzeile"/>
      <w:spacing w:before="1600" w:after="480"/>
      <w:ind w:left="709" w:right="1418"/>
      <w:rPr>
        <w:rFonts w:ascii="Arial" w:hAnsi="Arial"/>
        <w:sz w:val="32"/>
      </w:rPr>
    </w:pPr>
    <w:r>
      <w:rPr>
        <w:noProof/>
      </w:rPr>
      <w:drawing>
        <wp:anchor distT="0" distB="0" distL="114300" distR="114300" simplePos="0" relativeHeight="251662336" behindDoc="1" locked="0" layoutInCell="1" allowOverlap="1" wp14:anchorId="0A4AC564" wp14:editId="71835688">
          <wp:simplePos x="0" y="0"/>
          <wp:positionH relativeFrom="column">
            <wp:posOffset>5071745</wp:posOffset>
          </wp:positionH>
          <wp:positionV relativeFrom="paragraph">
            <wp:posOffset>590550</wp:posOffset>
          </wp:positionV>
          <wp:extent cx="1257300" cy="279400"/>
          <wp:effectExtent l="0" t="0" r="0" b="6350"/>
          <wp:wrapThrough wrapText="bothSides">
            <wp:wrapPolygon edited="0">
              <wp:start x="0" y="0"/>
              <wp:lineTo x="0" y="20618"/>
              <wp:lineTo x="21273" y="20618"/>
              <wp:lineTo x="21273" y="0"/>
              <wp:lineTo x="0"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279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26C0">
      <w:rPr>
        <w:noProof/>
      </w:rPr>
      <w:drawing>
        <wp:anchor distT="0" distB="0" distL="114300" distR="114300" simplePos="0" relativeHeight="251657216" behindDoc="0" locked="0" layoutInCell="1" allowOverlap="1" wp14:anchorId="569B8B01" wp14:editId="283078E9">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669B4A6C" wp14:editId="6E8311E2">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164"/>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1FEB"/>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06DC"/>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07E"/>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0A71"/>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jp-consult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2016-09-19T10:55:00Z</dcterms:created>
  <dcterms:modified xsi:type="dcterms:W3CDTF">2016-09-20T10:13:00Z</dcterms:modified>
</cp:coreProperties>
</file>