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1433E3">
      <w:pPr>
        <w:spacing w:after="360"/>
        <w:ind w:left="697" w:right="-285"/>
        <w:rPr>
          <w:rFonts w:ascii="Arial" w:hAnsi="Arial"/>
          <w:b/>
          <w:sz w:val="32"/>
        </w:rPr>
      </w:pPr>
      <w:r>
        <w:rPr>
          <w:rFonts w:ascii="Arial" w:hAnsi="Arial"/>
          <w:b/>
          <w:sz w:val="32"/>
        </w:rPr>
        <w:t>secunet Security Networks AG: Annual Financial Statements and Annual Report for 2015; 2016 Profit Distribution and Forecast</w:t>
      </w:r>
    </w:p>
    <w:p w:rsidR="00A061AF" w:rsidRPr="00275A6D" w:rsidRDefault="009013CE" w:rsidP="00C17202">
      <w:pPr>
        <w:spacing w:after="120" w:line="360" w:lineRule="auto"/>
        <w:ind w:left="697"/>
        <w:jc w:val="both"/>
        <w:rPr>
          <w:rFonts w:ascii="Arial" w:hAnsi="Arial"/>
          <w:b/>
          <w:sz w:val="22"/>
        </w:rPr>
      </w:pPr>
      <w:r>
        <w:rPr>
          <w:rFonts w:ascii="Arial" w:hAnsi="Arial"/>
          <w:b/>
          <w:i/>
          <w:sz w:val="22"/>
        </w:rPr>
        <w:t>[Essen, 15 March 2016]</w:t>
      </w:r>
      <w:r>
        <w:rPr>
          <w:rFonts w:ascii="Arial" w:hAnsi="Arial"/>
          <w:b/>
          <w:sz w:val="22"/>
        </w:rPr>
        <w:t xml:space="preserve"> secunet Security Networks AG (ISIN DE0007276503, WKN 727650), a leading German supplier of high-quality, reliable IT security and an IT security partner of the Federal Republic of Germany, publishes its Annual Financial Statements and Annual Report for the financial year 2015 today.</w:t>
      </w:r>
    </w:p>
    <w:p w:rsidR="001433E3" w:rsidRPr="001433E3" w:rsidRDefault="001433E3" w:rsidP="00AA3C26">
      <w:pPr>
        <w:spacing w:after="120" w:line="360" w:lineRule="auto"/>
        <w:ind w:left="697"/>
        <w:jc w:val="both"/>
        <w:rPr>
          <w:rFonts w:ascii="Arial" w:hAnsi="Arial"/>
          <w:sz w:val="22"/>
        </w:rPr>
      </w:pPr>
      <w:r>
        <w:rPr>
          <w:rFonts w:ascii="Arial" w:hAnsi="Arial"/>
          <w:sz w:val="22"/>
        </w:rPr>
        <w:t>In the 2015 financial year, the revenue of the secunet Group grew by 11 %, from 82.2 million euros in the previous year to 91.1 million euros. This development was significantly influenced by a substantial increase in the product business (revenue from commodities, licences, maintenance and support). At the same time, revenue from services (the consulting business) only grew slightly.</w:t>
      </w:r>
    </w:p>
    <w:p w:rsidR="001433E3" w:rsidRPr="005F635B" w:rsidRDefault="005F635B" w:rsidP="00AA3C26">
      <w:pPr>
        <w:spacing w:after="120" w:line="360" w:lineRule="auto"/>
        <w:ind w:left="697"/>
        <w:jc w:val="both"/>
        <w:rPr>
          <w:rFonts w:ascii="Arial" w:hAnsi="Arial"/>
          <w:sz w:val="22"/>
        </w:rPr>
      </w:pPr>
      <w:r>
        <w:rPr>
          <w:rFonts w:ascii="Arial" w:hAnsi="Arial"/>
          <w:sz w:val="22"/>
        </w:rPr>
        <w:t xml:space="preserve">The increase in revenue can be attributed to consistently strong growth in the Public Sector business unit. Compared to the previous year, revenue in the Public Sector rose by 15 %, or 10.3 million euros, from 68.9 million euros to 79.2 million euros. One-off effects accounted for around 5.0 million euros of this increase: SINA products were procured by individual authorities with infrastructure requiring short-term expansion. On the one hand, the Public Sector business unit offers its customers the SINA product family, while its offering also includes a wide selection of products and services connected with IT security for public-sector customers (including but not limited to IT security consultancy and training; products and consultancy on the subject of electronic passports; advanced border control solutions; and the electronic tax return ELSTER). The proportion of the revenue of the secunet Group for the 2015 financial year attributable to the Public Sector business unit equated to 87 % (previous year: 84 %). Customers from the public sector in Germany and abroad, as well as </w:t>
      </w:r>
      <w:r>
        <w:rPr>
          <w:rFonts w:ascii="Arial" w:hAnsi="Arial"/>
          <w:sz w:val="22"/>
        </w:rPr>
        <w:lastRenderedPageBreak/>
        <w:t>from international organisations, therefore continue to constitute the focus target group of secunet.</w:t>
      </w:r>
    </w:p>
    <w:p w:rsidR="009B082D" w:rsidRPr="005F635B" w:rsidRDefault="009B082D" w:rsidP="00AA3C26">
      <w:pPr>
        <w:spacing w:after="120" w:line="360" w:lineRule="auto"/>
        <w:ind w:left="697"/>
        <w:jc w:val="both"/>
        <w:rPr>
          <w:rFonts w:ascii="Arial" w:hAnsi="Arial"/>
          <w:sz w:val="22"/>
        </w:rPr>
      </w:pPr>
      <w:r>
        <w:rPr>
          <w:rFonts w:ascii="Arial" w:hAnsi="Arial"/>
          <w:sz w:val="22"/>
        </w:rPr>
        <w:t xml:space="preserve">In the Business Sector, revenue reduced from 13.3 million euros in the previous year to 11.9 million euros. The customer-specific solutions in the Business Sector are focused on companies in the private sector, primarily providers and operators of critical infrastructures such as telecommunications companies and </w:t>
      </w:r>
      <w:r w:rsidR="004D2E67">
        <w:rPr>
          <w:rFonts w:ascii="Arial" w:hAnsi="Arial"/>
          <w:sz w:val="22"/>
        </w:rPr>
        <w:t xml:space="preserve">utility </w:t>
      </w:r>
      <w:r>
        <w:rPr>
          <w:rFonts w:ascii="Arial" w:hAnsi="Arial"/>
          <w:sz w:val="22"/>
        </w:rPr>
        <w:t>providers, as well as demanding industries such as automotive and mechanical engineering. The contribution of the Business Sector to the Group revenues fell from 16 % in 2014 to 13 % in the past 2015 financial year.</w:t>
      </w:r>
    </w:p>
    <w:p w:rsidR="00163A08" w:rsidRDefault="009B082D" w:rsidP="00AA3C26">
      <w:pPr>
        <w:spacing w:after="120" w:line="360" w:lineRule="auto"/>
        <w:ind w:left="697"/>
        <w:jc w:val="both"/>
        <w:rPr>
          <w:rFonts w:ascii="Arial" w:hAnsi="Arial"/>
          <w:sz w:val="22"/>
        </w:rPr>
      </w:pPr>
      <w:r>
        <w:rPr>
          <w:rFonts w:ascii="Arial" w:hAnsi="Arial"/>
          <w:sz w:val="22"/>
        </w:rPr>
        <w:t>The earnings before interest and taxes (EBIT) of the secunet Group increased by 30 % compared to the previous year, rising from 6.6 million euros to 8.6 million euros. This improvement in EBIT resulted from the significant increase in revenue in the product business. Expenses only grew by a disproportionately low amount compared to revenues.</w:t>
      </w:r>
    </w:p>
    <w:p w:rsidR="001433E3" w:rsidRDefault="00163A08" w:rsidP="00AA3C26">
      <w:pPr>
        <w:spacing w:after="120" w:line="360" w:lineRule="auto"/>
        <w:ind w:left="697"/>
        <w:jc w:val="both"/>
        <w:rPr>
          <w:rFonts w:ascii="Arial" w:hAnsi="Arial"/>
          <w:sz w:val="22"/>
        </w:rPr>
      </w:pPr>
      <w:r>
        <w:rPr>
          <w:rFonts w:ascii="Arial" w:hAnsi="Arial"/>
          <w:sz w:val="22"/>
        </w:rPr>
        <w:t>The secunet Group generated a Group net income of 6.1 million euros in the 2015 financial year, which corresponds to an increase of 1.7 million euros or 39 % compared to the previous year (4.4 million euros). Diluted and undiluted earnings per share in 2015 stood at 0.94 euros, compared with 0.68 euros in the previous year.</w:t>
      </w:r>
    </w:p>
    <w:p w:rsidR="009B082D" w:rsidRDefault="00163A08" w:rsidP="00AA3C26">
      <w:pPr>
        <w:spacing w:after="120" w:line="360" w:lineRule="auto"/>
        <w:ind w:left="697"/>
        <w:jc w:val="both"/>
        <w:rPr>
          <w:rFonts w:ascii="Arial" w:hAnsi="Arial"/>
          <w:sz w:val="22"/>
        </w:rPr>
      </w:pPr>
      <w:r>
        <w:rPr>
          <w:rFonts w:ascii="Arial" w:hAnsi="Arial"/>
          <w:sz w:val="22"/>
        </w:rPr>
        <w:t>Net income for secunet Security Networks AG for the year increased from 4.3 million euros in 2014 to 5.5 million euros in 2015. Shareholders in secunet AG participate in the positive trend: in the Annual General Meeting, due to take place on 12 May 2016 in Essen, Germany, the Supervisory Board and Management Board of secunet Security Networks AG will recommend that a dividend of 0.34 euros be paid out for each no-par value share that is entitled to dividend (previous year: 0.27 euros).</w:t>
      </w:r>
    </w:p>
    <w:p w:rsidR="00627946" w:rsidRDefault="00627946" w:rsidP="00AA3C26">
      <w:pPr>
        <w:spacing w:after="120" w:line="360" w:lineRule="auto"/>
        <w:ind w:left="697"/>
        <w:jc w:val="both"/>
        <w:rPr>
          <w:rFonts w:ascii="Arial" w:hAnsi="Arial"/>
          <w:sz w:val="22"/>
        </w:rPr>
      </w:pPr>
      <w:r>
        <w:rPr>
          <w:rFonts w:ascii="Arial" w:hAnsi="Arial"/>
          <w:sz w:val="22"/>
        </w:rPr>
        <w:t xml:space="preserve">"secunet AG is starting 2016 in an excellent position," comments Dr. Rainer Baumgart, Chairman of secunet Security Networks AG. "The </w:t>
      </w:r>
      <w:r>
        <w:rPr>
          <w:rFonts w:ascii="Arial" w:hAnsi="Arial"/>
          <w:sz w:val="22"/>
        </w:rPr>
        <w:lastRenderedPageBreak/>
        <w:t>company is well-placed financially, our employees are superbly qualified and highly motivated, and secunet is recognised as a supplier of high-quality, reliable IT security for the highest demands. For these reasons, we look to the future with optimism."</w:t>
      </w:r>
    </w:p>
    <w:p w:rsidR="00FE6B8A" w:rsidRPr="00B8280C" w:rsidRDefault="00FE6B8A" w:rsidP="00AA3C26">
      <w:pPr>
        <w:spacing w:after="120" w:line="360" w:lineRule="auto"/>
        <w:ind w:left="697"/>
        <w:jc w:val="both"/>
        <w:rPr>
          <w:rFonts w:ascii="Arial" w:hAnsi="Arial"/>
          <w:sz w:val="22"/>
        </w:rPr>
      </w:pPr>
      <w:r>
        <w:rPr>
          <w:rFonts w:ascii="Arial" w:hAnsi="Arial"/>
          <w:sz w:val="22"/>
        </w:rPr>
        <w:t>The order book of the secunet Group in accordance with IFRS is 45.7 million euros at the end of 2015 and has therefore increased by 22 % or 8.2 million euros compared to the amount of 37.5 million euros as at 31 December 2014.</w:t>
      </w:r>
    </w:p>
    <w:p w:rsidR="00B8280C" w:rsidRPr="00B8280C" w:rsidRDefault="00B8280C" w:rsidP="00AA3C26">
      <w:pPr>
        <w:spacing w:after="120" w:line="360" w:lineRule="auto"/>
        <w:ind w:left="697"/>
        <w:jc w:val="both"/>
        <w:rPr>
          <w:rFonts w:ascii="Arial" w:hAnsi="Arial"/>
          <w:sz w:val="22"/>
        </w:rPr>
      </w:pPr>
      <w:r>
        <w:rPr>
          <w:rFonts w:ascii="Arial" w:hAnsi="Arial"/>
          <w:sz w:val="22"/>
        </w:rPr>
        <w:t>The result of the previous financial year has been positively influenced by one-off effects. There are no indications that we will see these type of non-recurrent effects for 2016. On the basis of the results being adjusted for these non-recurrent effects, the expectations of the Management Board of secunet AG for the coming financial year (2016) are that revenue will remain roughly the same and that the EBIT margin will be in the same region as the previous year's figures.</w:t>
      </w:r>
    </w:p>
    <w:p w:rsidR="00A164CA" w:rsidRPr="00B8280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Number of characters: 4,</w:t>
      </w:r>
      <w:r w:rsidR="00927A19">
        <w:rPr>
          <w:rFonts w:ascii="Arial" w:hAnsi="Arial"/>
          <w:sz w:val="16"/>
        </w:rPr>
        <w:t>7</w:t>
      </w:r>
      <w:r w:rsidR="004D2E67">
        <w:rPr>
          <w:rFonts w:ascii="Arial" w:hAnsi="Arial"/>
          <w:sz w:val="16"/>
        </w:rPr>
        <w:t>99</w:t>
      </w:r>
      <w:bookmarkStart w:id="0" w:name="_GoBack"/>
      <w:bookmarkEnd w:id="0"/>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pStyle w:val="Kopfzeile"/>
        <w:ind w:left="709"/>
        <w:jc w:val="both"/>
        <w:outlineLvl w:val="0"/>
        <w:rPr>
          <w:rFonts w:ascii="Arial" w:hAnsi="Arial"/>
          <w:b/>
          <w:sz w:val="16"/>
        </w:rPr>
      </w:pPr>
      <w:r>
        <w:br w:type="page"/>
      </w:r>
      <w:r>
        <w:rPr>
          <w:rFonts w:ascii="Arial" w:hAnsi="Arial"/>
          <w:b/>
          <w:sz w:val="16"/>
        </w:rPr>
        <w:lastRenderedPageBreak/>
        <w:t>Press contact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r>
          <w:rPr>
            <w:rStyle w:val="Hyperlink"/>
            <w:rFonts w:ascii="Arial" w:hAnsi="Arial"/>
            <w:sz w:val="16"/>
          </w:rPr>
          <w:t>presse@secunet.com</w:t>
        </w:r>
      </w:hyperlink>
    </w:p>
    <w:p w:rsidR="00A164CA" w:rsidRDefault="004D2E67">
      <w:pPr>
        <w:pStyle w:val="Kopfzeile"/>
        <w:ind w:left="709"/>
        <w:jc w:val="both"/>
        <w:rPr>
          <w:rFonts w:ascii="Arial" w:hAnsi="Arial"/>
          <w:sz w:val="16"/>
        </w:rPr>
      </w:pPr>
      <w:hyperlink r:id="rId9">
        <w:r w:rsidR="00E5640B">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Pr>
          <w:rFonts w:ascii="Arial" w:hAnsi="Arial"/>
          <w:sz w:val="16"/>
        </w:rPr>
        <w:t xml:space="preserve">secunet is one of the leading German providers of high-quality IT security. Over 350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number over 500 in total. secunet is an IT security partner of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r>
        <w:rPr>
          <w:rFonts w:ascii="Arial" w:hAnsi="Arial"/>
          <w:sz w:val="16"/>
        </w:rPr>
        <w:t>secunet was founded in 1997 and achieved revenues of EUR 91.1 million in 2015. secunet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0">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rPr>
        <w:t>Disclaimer</w:t>
      </w:r>
    </w:p>
    <w:p w:rsidR="001075C5" w:rsidRDefault="001075C5" w:rsidP="001075C5">
      <w:pPr>
        <w:ind w:left="708"/>
        <w:jc w:val="both"/>
        <w:rPr>
          <w:rFonts w:ascii="Arial" w:hAnsi="Arial" w:cs="Arial"/>
          <w:i/>
          <w:sz w:val="16"/>
          <w:szCs w:val="16"/>
        </w:rPr>
      </w:pPr>
    </w:p>
    <w:p w:rsidR="00A3586E" w:rsidRDefault="001075C5" w:rsidP="00A3586E">
      <w:pPr>
        <w:ind w:left="708"/>
        <w:jc w:val="both"/>
        <w:rPr>
          <w:rFonts w:ascii="Arial" w:hAnsi="Arial" w:cs="Arial"/>
          <w:i/>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4D2E67">
      <w:rPr>
        <w:rStyle w:val="Seitenzahl"/>
        <w:rFonts w:ascii="Arial" w:hAnsi="Arial"/>
        <w:noProof/>
        <w:sz w:val="22"/>
      </w:rPr>
      <w:t>4</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4D2E67">
      <w:rPr>
        <w:rStyle w:val="Seitenzahl"/>
        <w:rFonts w:ascii="Arial" w:hAnsi="Arial"/>
        <w:noProof/>
        <w:sz w:val="22"/>
      </w:rPr>
      <w:t>4</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1075C5"/>
    <w:rsid w:val="001249CD"/>
    <w:rsid w:val="00130C10"/>
    <w:rsid w:val="001433E3"/>
    <w:rsid w:val="0015116B"/>
    <w:rsid w:val="00163A08"/>
    <w:rsid w:val="001F0C6F"/>
    <w:rsid w:val="001F70FA"/>
    <w:rsid w:val="00227CF5"/>
    <w:rsid w:val="00233340"/>
    <w:rsid w:val="00243467"/>
    <w:rsid w:val="002548A9"/>
    <w:rsid w:val="00275A6D"/>
    <w:rsid w:val="00293DC8"/>
    <w:rsid w:val="002976D1"/>
    <w:rsid w:val="002A6536"/>
    <w:rsid w:val="002B1C2A"/>
    <w:rsid w:val="002B544D"/>
    <w:rsid w:val="002B6ED4"/>
    <w:rsid w:val="003124BB"/>
    <w:rsid w:val="00327AD2"/>
    <w:rsid w:val="00345097"/>
    <w:rsid w:val="003A2B5B"/>
    <w:rsid w:val="003E446B"/>
    <w:rsid w:val="004144F5"/>
    <w:rsid w:val="00440BD5"/>
    <w:rsid w:val="00456FA4"/>
    <w:rsid w:val="00486F57"/>
    <w:rsid w:val="00497979"/>
    <w:rsid w:val="004A0F46"/>
    <w:rsid w:val="004A6854"/>
    <w:rsid w:val="004D2E67"/>
    <w:rsid w:val="0052247A"/>
    <w:rsid w:val="00553784"/>
    <w:rsid w:val="005F5428"/>
    <w:rsid w:val="005F635B"/>
    <w:rsid w:val="00602B86"/>
    <w:rsid w:val="006068C1"/>
    <w:rsid w:val="00627946"/>
    <w:rsid w:val="006338C8"/>
    <w:rsid w:val="00676CAA"/>
    <w:rsid w:val="006877AA"/>
    <w:rsid w:val="006A77C8"/>
    <w:rsid w:val="006B303A"/>
    <w:rsid w:val="006C7756"/>
    <w:rsid w:val="007505DB"/>
    <w:rsid w:val="0076251C"/>
    <w:rsid w:val="00762F43"/>
    <w:rsid w:val="007A03D5"/>
    <w:rsid w:val="007F683E"/>
    <w:rsid w:val="00815BA0"/>
    <w:rsid w:val="0081682E"/>
    <w:rsid w:val="00816873"/>
    <w:rsid w:val="00852A06"/>
    <w:rsid w:val="0087418A"/>
    <w:rsid w:val="008878D7"/>
    <w:rsid w:val="00894DF7"/>
    <w:rsid w:val="008C1149"/>
    <w:rsid w:val="008C280E"/>
    <w:rsid w:val="008E063E"/>
    <w:rsid w:val="008E7A1D"/>
    <w:rsid w:val="009013CE"/>
    <w:rsid w:val="00927A19"/>
    <w:rsid w:val="00951871"/>
    <w:rsid w:val="009605DB"/>
    <w:rsid w:val="00963B58"/>
    <w:rsid w:val="00997188"/>
    <w:rsid w:val="009B082D"/>
    <w:rsid w:val="009E4CA0"/>
    <w:rsid w:val="00A061AF"/>
    <w:rsid w:val="00A164CA"/>
    <w:rsid w:val="00A3586E"/>
    <w:rsid w:val="00A54B8A"/>
    <w:rsid w:val="00AA0E95"/>
    <w:rsid w:val="00AA3C26"/>
    <w:rsid w:val="00AB6522"/>
    <w:rsid w:val="00AD7DC7"/>
    <w:rsid w:val="00AE053A"/>
    <w:rsid w:val="00AE1A2F"/>
    <w:rsid w:val="00B102E4"/>
    <w:rsid w:val="00B35383"/>
    <w:rsid w:val="00B50389"/>
    <w:rsid w:val="00B734E1"/>
    <w:rsid w:val="00B8280C"/>
    <w:rsid w:val="00BA519E"/>
    <w:rsid w:val="00BB39E5"/>
    <w:rsid w:val="00BC4024"/>
    <w:rsid w:val="00BE42B0"/>
    <w:rsid w:val="00C003D0"/>
    <w:rsid w:val="00C17202"/>
    <w:rsid w:val="00C23944"/>
    <w:rsid w:val="00C2721E"/>
    <w:rsid w:val="00C34ED4"/>
    <w:rsid w:val="00C421CE"/>
    <w:rsid w:val="00C46CAD"/>
    <w:rsid w:val="00C62781"/>
    <w:rsid w:val="00C73631"/>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45F30"/>
    <w:rsid w:val="00E53961"/>
    <w:rsid w:val="00E5640B"/>
    <w:rsid w:val="00E62AB2"/>
    <w:rsid w:val="00E83A44"/>
    <w:rsid w:val="00EA6663"/>
    <w:rsid w:val="00EA6FC6"/>
    <w:rsid w:val="00EB7AEA"/>
    <w:rsid w:val="00EC6C28"/>
    <w:rsid w:val="00EE62C0"/>
    <w:rsid w:val="00EF4B33"/>
    <w:rsid w:val="00EF7865"/>
    <w:rsid w:val="00F273AE"/>
    <w:rsid w:val="00F34A37"/>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6744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2016-03-08T10:12:00Z</cp:lastPrinted>
  <dcterms:created xsi:type="dcterms:W3CDTF">2016-03-11T12:44:00Z</dcterms:created>
  <dcterms:modified xsi:type="dcterms:W3CDTF">2016-03-11T12:44:00Z</dcterms:modified>
</cp:coreProperties>
</file>