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CA" w:rsidRPr="00DD198E" w:rsidRDefault="00DD198E">
      <w:pPr>
        <w:spacing w:after="360"/>
        <w:ind w:left="697" w:right="-285"/>
        <w:rPr>
          <w:rFonts w:ascii="Arial" w:hAnsi="Arial"/>
          <w:b/>
          <w:sz w:val="32"/>
        </w:rPr>
      </w:pPr>
      <w:r w:rsidRPr="00DD198E">
        <w:rPr>
          <w:rFonts w:ascii="Arial" w:hAnsi="Arial"/>
          <w:b/>
          <w:sz w:val="32"/>
        </w:rPr>
        <w:t>secunet konnektor erhält Zulassung für d</w:t>
      </w:r>
      <w:r>
        <w:rPr>
          <w:rFonts w:ascii="Arial" w:hAnsi="Arial"/>
          <w:b/>
          <w:sz w:val="32"/>
        </w:rPr>
        <w:t>ie elektronische Patientenakte – ePA</w:t>
      </w:r>
    </w:p>
    <w:p w:rsidR="00A061AF" w:rsidRPr="00DD198E" w:rsidRDefault="009013CE" w:rsidP="00C17202">
      <w:pPr>
        <w:spacing w:after="120" w:line="360" w:lineRule="auto"/>
        <w:ind w:left="697"/>
        <w:jc w:val="both"/>
        <w:rPr>
          <w:rFonts w:ascii="Arial" w:hAnsi="Arial"/>
          <w:b/>
          <w:sz w:val="22"/>
        </w:rPr>
      </w:pPr>
      <w:r w:rsidRPr="00D64551">
        <w:rPr>
          <w:rFonts w:ascii="Arial" w:hAnsi="Arial"/>
          <w:b/>
          <w:i/>
          <w:sz w:val="22"/>
        </w:rPr>
        <w:t xml:space="preserve">[Essen, </w:t>
      </w:r>
      <w:bookmarkStart w:id="0" w:name="_GoBack"/>
      <w:bookmarkEnd w:id="0"/>
      <w:r w:rsidR="00BD1D32">
        <w:rPr>
          <w:rFonts w:ascii="Arial" w:hAnsi="Arial"/>
          <w:b/>
          <w:i/>
          <w:sz w:val="22"/>
        </w:rPr>
        <w:t>7</w:t>
      </w:r>
      <w:r w:rsidRPr="00D64551">
        <w:rPr>
          <w:rFonts w:ascii="Arial" w:hAnsi="Arial"/>
          <w:b/>
          <w:i/>
          <w:sz w:val="22"/>
        </w:rPr>
        <w:t xml:space="preserve">. </w:t>
      </w:r>
      <w:r w:rsidR="00DD198E" w:rsidRPr="00DD198E">
        <w:rPr>
          <w:rFonts w:ascii="Arial" w:hAnsi="Arial"/>
          <w:b/>
          <w:i/>
          <w:sz w:val="22"/>
        </w:rPr>
        <w:t>Mai</w:t>
      </w:r>
      <w:r w:rsidR="00A164CA" w:rsidRPr="00DD198E">
        <w:rPr>
          <w:rFonts w:ascii="Arial" w:hAnsi="Arial"/>
          <w:b/>
          <w:i/>
          <w:sz w:val="22"/>
        </w:rPr>
        <w:t xml:space="preserve"> 20</w:t>
      </w:r>
      <w:r w:rsidR="00791DED" w:rsidRPr="00DD198E">
        <w:rPr>
          <w:rFonts w:ascii="Arial" w:hAnsi="Arial"/>
          <w:b/>
          <w:i/>
          <w:sz w:val="22"/>
        </w:rPr>
        <w:t>2</w:t>
      </w:r>
      <w:r w:rsidR="00F603AA" w:rsidRPr="00DD198E">
        <w:rPr>
          <w:rFonts w:ascii="Arial" w:hAnsi="Arial"/>
          <w:b/>
          <w:i/>
          <w:sz w:val="22"/>
        </w:rPr>
        <w:t>1</w:t>
      </w:r>
      <w:r w:rsidR="00A164CA" w:rsidRPr="00DD198E">
        <w:rPr>
          <w:rFonts w:ascii="Arial" w:hAnsi="Arial"/>
          <w:b/>
          <w:i/>
          <w:sz w:val="22"/>
        </w:rPr>
        <w:t>]</w:t>
      </w:r>
      <w:r w:rsidR="00A164CA" w:rsidRPr="00DD198E">
        <w:rPr>
          <w:rFonts w:ascii="Arial" w:hAnsi="Arial"/>
          <w:b/>
          <w:sz w:val="22"/>
        </w:rPr>
        <w:t xml:space="preserve"> </w:t>
      </w:r>
      <w:r w:rsidR="00DD198E" w:rsidRPr="00DD198E">
        <w:rPr>
          <w:rFonts w:ascii="Arial" w:hAnsi="Arial"/>
          <w:b/>
          <w:sz w:val="22"/>
        </w:rPr>
        <w:t>secunet erhält als erster Anbieter für den secunet konnektor die Zulassung in der Telematikinfrastruktur für</w:t>
      </w:r>
      <w:r w:rsidR="00DD198E">
        <w:rPr>
          <w:rFonts w:ascii="Arial" w:hAnsi="Arial"/>
          <w:b/>
          <w:sz w:val="22"/>
        </w:rPr>
        <w:t xml:space="preserve"> die Produkttypversion 4 (PTV4) </w:t>
      </w:r>
      <w:r w:rsidR="00DD198E" w:rsidRPr="00DD198E">
        <w:rPr>
          <w:rFonts w:ascii="Arial" w:hAnsi="Arial"/>
          <w:b/>
          <w:sz w:val="22"/>
        </w:rPr>
        <w:t>und unterstützt damit die Umsetzung der elektronischen Patientenakte in der Fläche.</w:t>
      </w:r>
    </w:p>
    <w:p w:rsidR="00DD198E" w:rsidRPr="00DD198E" w:rsidRDefault="00DD198E" w:rsidP="00DD198E">
      <w:pPr>
        <w:spacing w:after="120" w:line="360" w:lineRule="auto"/>
        <w:ind w:left="697"/>
        <w:jc w:val="both"/>
        <w:rPr>
          <w:rFonts w:ascii="Arial" w:hAnsi="Arial"/>
          <w:sz w:val="22"/>
        </w:rPr>
      </w:pPr>
      <w:r w:rsidRPr="00DD198E">
        <w:rPr>
          <w:rFonts w:ascii="Arial" w:hAnsi="Arial"/>
          <w:sz w:val="22"/>
        </w:rPr>
        <w:t>Bereits im Januar startete secunet</w:t>
      </w:r>
      <w:r w:rsidR="00D71C71">
        <w:rPr>
          <w:rFonts w:ascii="Arial" w:hAnsi="Arial"/>
          <w:sz w:val="22"/>
        </w:rPr>
        <w:t xml:space="preserve"> gemeinsam</w:t>
      </w:r>
      <w:r w:rsidRPr="00DD198E">
        <w:rPr>
          <w:rFonts w:ascii="Arial" w:hAnsi="Arial"/>
          <w:sz w:val="22"/>
        </w:rPr>
        <w:t xml:space="preserve"> mit dem Partner eHealth Experts</w:t>
      </w:r>
      <w:r>
        <w:rPr>
          <w:rFonts w:ascii="Arial" w:hAnsi="Arial"/>
          <w:sz w:val="22"/>
        </w:rPr>
        <w:t xml:space="preserve"> </w:t>
      </w:r>
      <w:r w:rsidR="004B4137" w:rsidRPr="00DD198E">
        <w:rPr>
          <w:rFonts w:ascii="Arial" w:hAnsi="Arial"/>
          <w:sz w:val="22"/>
        </w:rPr>
        <w:t>in eine Testphase</w:t>
      </w:r>
      <w:r w:rsidR="004B4137">
        <w:rPr>
          <w:rFonts w:ascii="Arial" w:hAnsi="Arial"/>
          <w:sz w:val="22"/>
        </w:rPr>
        <w:t xml:space="preserve"> </w:t>
      </w:r>
      <w:r>
        <w:rPr>
          <w:rFonts w:ascii="Arial" w:hAnsi="Arial"/>
          <w:sz w:val="22"/>
        </w:rPr>
        <w:t xml:space="preserve">mit dem </w:t>
      </w:r>
      <w:r w:rsidRPr="00DD198E">
        <w:rPr>
          <w:rFonts w:ascii="Arial" w:hAnsi="Arial"/>
          <w:sz w:val="22"/>
        </w:rPr>
        <w:t>Upgrade</w:t>
      </w:r>
      <w:r>
        <w:rPr>
          <w:rFonts w:ascii="Arial" w:hAnsi="Arial"/>
          <w:sz w:val="22"/>
        </w:rPr>
        <w:t xml:space="preserve"> für die elektronische Patientenakte (ePA)</w:t>
      </w:r>
      <w:r w:rsidR="00D71C71">
        <w:rPr>
          <w:rFonts w:ascii="Arial" w:hAnsi="Arial"/>
          <w:sz w:val="22"/>
        </w:rPr>
        <w:t>. I</w:t>
      </w:r>
      <w:r w:rsidRPr="00DD198E">
        <w:rPr>
          <w:rFonts w:ascii="Arial" w:hAnsi="Arial"/>
          <w:sz w:val="22"/>
        </w:rPr>
        <w:t>n ausgewählten Praxen und Krankenhäusern konnte die Funktion und Sic</w:t>
      </w:r>
      <w:r>
        <w:rPr>
          <w:rFonts w:ascii="Arial" w:hAnsi="Arial"/>
          <w:sz w:val="22"/>
        </w:rPr>
        <w:t>herheit des Konnektors gemäß den</w:t>
      </w:r>
      <w:r w:rsidRPr="00DD198E">
        <w:rPr>
          <w:rFonts w:ascii="Arial" w:hAnsi="Arial"/>
          <w:sz w:val="22"/>
        </w:rPr>
        <w:t xml:space="preserve"> Vorgaben der gematik erfolgreich nach</w:t>
      </w:r>
      <w:r w:rsidR="00D71C71">
        <w:rPr>
          <w:rFonts w:ascii="Arial" w:hAnsi="Arial"/>
          <w:sz w:val="22"/>
        </w:rPr>
        <w:t>ge</w:t>
      </w:r>
      <w:r w:rsidRPr="00DD198E">
        <w:rPr>
          <w:rFonts w:ascii="Arial" w:hAnsi="Arial"/>
          <w:sz w:val="22"/>
        </w:rPr>
        <w:t>w</w:t>
      </w:r>
      <w:r w:rsidR="00D71C71">
        <w:rPr>
          <w:rFonts w:ascii="Arial" w:hAnsi="Arial"/>
          <w:sz w:val="22"/>
        </w:rPr>
        <w:t>i</w:t>
      </w:r>
      <w:r w:rsidRPr="00DD198E">
        <w:rPr>
          <w:rFonts w:ascii="Arial" w:hAnsi="Arial"/>
          <w:sz w:val="22"/>
        </w:rPr>
        <w:t>esen</w:t>
      </w:r>
      <w:r w:rsidR="00D71C71">
        <w:rPr>
          <w:rFonts w:ascii="Arial" w:hAnsi="Arial"/>
          <w:sz w:val="22"/>
        </w:rPr>
        <w:t xml:space="preserve"> werden</w:t>
      </w:r>
      <w:r w:rsidRPr="00DD198E">
        <w:rPr>
          <w:rFonts w:ascii="Arial" w:hAnsi="Arial"/>
          <w:sz w:val="22"/>
        </w:rPr>
        <w:t>.</w:t>
      </w:r>
    </w:p>
    <w:p w:rsidR="00DD198E" w:rsidRPr="00DD198E" w:rsidRDefault="00036435" w:rsidP="00DD198E">
      <w:pPr>
        <w:spacing w:after="120" w:line="360" w:lineRule="auto"/>
        <w:ind w:left="697"/>
        <w:jc w:val="both"/>
        <w:rPr>
          <w:rFonts w:ascii="Arial" w:hAnsi="Arial"/>
          <w:sz w:val="22"/>
        </w:rPr>
      </w:pPr>
      <w:r>
        <w:rPr>
          <w:rFonts w:ascii="Arial" w:hAnsi="Arial"/>
          <w:sz w:val="22"/>
        </w:rPr>
        <w:t>Das Upgrade</w:t>
      </w:r>
      <w:r w:rsidR="00B44A52">
        <w:rPr>
          <w:rFonts w:ascii="Arial" w:hAnsi="Arial"/>
          <w:sz w:val="22"/>
        </w:rPr>
        <w:t xml:space="preserve"> auf PTV4</w:t>
      </w:r>
      <w:r w:rsidR="00971CEF">
        <w:rPr>
          <w:rFonts w:ascii="Arial" w:hAnsi="Arial"/>
          <w:sz w:val="22"/>
        </w:rPr>
        <w:t xml:space="preserve"> </w:t>
      </w:r>
      <w:r w:rsidR="00DD198E" w:rsidRPr="00DD198E">
        <w:rPr>
          <w:rFonts w:ascii="Arial" w:hAnsi="Arial"/>
          <w:sz w:val="22"/>
        </w:rPr>
        <w:t xml:space="preserve">ermöglicht die </w:t>
      </w:r>
      <w:r w:rsidR="00BF3CE4">
        <w:rPr>
          <w:rFonts w:ascii="Arial" w:hAnsi="Arial"/>
          <w:sz w:val="22"/>
        </w:rPr>
        <w:t>Nutzung</w:t>
      </w:r>
      <w:r w:rsidR="00DD198E" w:rsidRPr="00DD198E">
        <w:rPr>
          <w:rFonts w:ascii="Arial" w:hAnsi="Arial"/>
          <w:sz w:val="22"/>
        </w:rPr>
        <w:t xml:space="preserve"> der ePA in Praxen, Apotheken und Krankenhäusern. Durch den hohen Marktanteil des secunet konnektors kann </w:t>
      </w:r>
      <w:r w:rsidR="007F408C" w:rsidRPr="00DD198E">
        <w:rPr>
          <w:rFonts w:ascii="Arial" w:hAnsi="Arial"/>
          <w:sz w:val="22"/>
        </w:rPr>
        <w:t xml:space="preserve">eine Vielzahl von Leistungserbringern im Gesundheitswesen </w:t>
      </w:r>
      <w:r w:rsidR="00DD198E" w:rsidRPr="00DD198E">
        <w:rPr>
          <w:rFonts w:ascii="Arial" w:hAnsi="Arial"/>
          <w:sz w:val="22"/>
        </w:rPr>
        <w:t xml:space="preserve">nach einer kurzen Einführungsphase den nächsten </w:t>
      </w:r>
      <w:r w:rsidR="00A20F4C">
        <w:rPr>
          <w:rFonts w:ascii="Arial" w:hAnsi="Arial"/>
          <w:sz w:val="22"/>
        </w:rPr>
        <w:t>Digitalisierungss</w:t>
      </w:r>
      <w:r w:rsidR="00DD198E" w:rsidRPr="00DD198E">
        <w:rPr>
          <w:rFonts w:ascii="Arial" w:hAnsi="Arial"/>
          <w:sz w:val="22"/>
        </w:rPr>
        <w:t xml:space="preserve">chritt </w:t>
      </w:r>
      <w:r w:rsidR="00A20F4C">
        <w:rPr>
          <w:rFonts w:ascii="Arial" w:hAnsi="Arial"/>
          <w:sz w:val="22"/>
        </w:rPr>
        <w:t>gehen</w:t>
      </w:r>
      <w:r w:rsidR="00DD198E" w:rsidRPr="00DD198E">
        <w:rPr>
          <w:rFonts w:ascii="Arial" w:hAnsi="Arial"/>
          <w:sz w:val="22"/>
        </w:rPr>
        <w:t xml:space="preserve">. </w:t>
      </w:r>
    </w:p>
    <w:p w:rsidR="00DD198E" w:rsidRPr="00DD198E" w:rsidRDefault="00DD198E" w:rsidP="00DD198E">
      <w:pPr>
        <w:spacing w:after="120" w:line="360" w:lineRule="auto"/>
        <w:ind w:left="697"/>
        <w:jc w:val="both"/>
        <w:rPr>
          <w:rFonts w:ascii="Arial" w:hAnsi="Arial"/>
          <w:sz w:val="22"/>
        </w:rPr>
      </w:pPr>
      <w:r w:rsidRPr="00DD198E">
        <w:rPr>
          <w:rFonts w:ascii="Arial" w:hAnsi="Arial"/>
          <w:sz w:val="22"/>
        </w:rPr>
        <w:t>„</w:t>
      </w:r>
      <w:r w:rsidR="00B44A52">
        <w:rPr>
          <w:rFonts w:ascii="Arial" w:hAnsi="Arial"/>
          <w:sz w:val="22"/>
        </w:rPr>
        <w:t>Obwohl</w:t>
      </w:r>
      <w:r w:rsidRPr="00DD198E">
        <w:rPr>
          <w:rFonts w:ascii="Arial" w:hAnsi="Arial"/>
          <w:sz w:val="22"/>
        </w:rPr>
        <w:t xml:space="preserve"> secunet gemeinsam mit </w:t>
      </w:r>
      <w:r w:rsidR="00B44A52">
        <w:rPr>
          <w:rFonts w:ascii="Arial" w:hAnsi="Arial"/>
          <w:sz w:val="22"/>
        </w:rPr>
        <w:t>de</w:t>
      </w:r>
      <w:r w:rsidR="00A20F4C">
        <w:rPr>
          <w:rFonts w:ascii="Arial" w:hAnsi="Arial"/>
          <w:sz w:val="22"/>
        </w:rPr>
        <w:t>m</w:t>
      </w:r>
      <w:r w:rsidRPr="00DD198E">
        <w:rPr>
          <w:rFonts w:ascii="Arial" w:hAnsi="Arial"/>
          <w:sz w:val="22"/>
        </w:rPr>
        <w:t xml:space="preserve"> Partner eHealth</w:t>
      </w:r>
      <w:r w:rsidR="00B44A52">
        <w:rPr>
          <w:rFonts w:ascii="Arial" w:hAnsi="Arial"/>
          <w:sz w:val="22"/>
        </w:rPr>
        <w:t xml:space="preserve"> </w:t>
      </w:r>
      <w:r w:rsidRPr="00DD198E">
        <w:rPr>
          <w:rFonts w:ascii="Arial" w:hAnsi="Arial"/>
          <w:sz w:val="22"/>
        </w:rPr>
        <w:t xml:space="preserve">Experts erst spät in den Konnektormarkt eingestiegen ist, freuen wir uns natürlich </w:t>
      </w:r>
      <w:r w:rsidR="006805FC">
        <w:rPr>
          <w:rFonts w:ascii="Arial" w:hAnsi="Arial"/>
          <w:sz w:val="22"/>
        </w:rPr>
        <w:t>umso m</w:t>
      </w:r>
      <w:r w:rsidRPr="00DD198E">
        <w:rPr>
          <w:rFonts w:ascii="Arial" w:hAnsi="Arial"/>
          <w:sz w:val="22"/>
        </w:rPr>
        <w:t>ehr, dass wir jetzt als erster die Zulassung zum ePA-Upgrade erhalten haben</w:t>
      </w:r>
      <w:r w:rsidR="006805FC">
        <w:rPr>
          <w:rFonts w:ascii="Arial" w:hAnsi="Arial"/>
          <w:sz w:val="22"/>
        </w:rPr>
        <w:t xml:space="preserve">. Für uns ist das auch die Bestätigung der </w:t>
      </w:r>
      <w:r w:rsidRPr="00DD198E">
        <w:rPr>
          <w:rFonts w:ascii="Arial" w:hAnsi="Arial"/>
          <w:sz w:val="22"/>
        </w:rPr>
        <w:t>Qualität unsere</w:t>
      </w:r>
      <w:r w:rsidR="006805FC">
        <w:rPr>
          <w:rFonts w:ascii="Arial" w:hAnsi="Arial"/>
          <w:sz w:val="22"/>
        </w:rPr>
        <w:t>r</w:t>
      </w:r>
      <w:r w:rsidRPr="00DD198E">
        <w:rPr>
          <w:rFonts w:ascii="Arial" w:hAnsi="Arial"/>
          <w:sz w:val="22"/>
        </w:rPr>
        <w:t xml:space="preserve"> Arbeit“</w:t>
      </w:r>
      <w:r w:rsidR="006805FC">
        <w:rPr>
          <w:rFonts w:ascii="Arial" w:hAnsi="Arial"/>
          <w:sz w:val="22"/>
        </w:rPr>
        <w:t>,</w:t>
      </w:r>
      <w:r w:rsidRPr="00DD198E">
        <w:rPr>
          <w:rFonts w:ascii="Arial" w:hAnsi="Arial"/>
          <w:sz w:val="22"/>
        </w:rPr>
        <w:t xml:space="preserve"> erläutert Markus Linnemann, Leiter der Division eHealth</w:t>
      </w:r>
      <w:r w:rsidR="006805FC">
        <w:rPr>
          <w:rFonts w:ascii="Arial" w:hAnsi="Arial"/>
          <w:sz w:val="22"/>
        </w:rPr>
        <w:t xml:space="preserve"> bei secunet</w:t>
      </w:r>
      <w:r w:rsidRPr="00DD198E">
        <w:rPr>
          <w:rFonts w:ascii="Arial" w:hAnsi="Arial"/>
          <w:sz w:val="22"/>
        </w:rPr>
        <w:t>.</w:t>
      </w:r>
    </w:p>
    <w:p w:rsidR="00DD198E" w:rsidRPr="00DD198E" w:rsidRDefault="00DD198E" w:rsidP="00DD198E">
      <w:pPr>
        <w:spacing w:after="120" w:line="360" w:lineRule="auto"/>
        <w:ind w:left="697"/>
        <w:jc w:val="both"/>
        <w:rPr>
          <w:rFonts w:ascii="Arial" w:hAnsi="Arial"/>
          <w:sz w:val="22"/>
        </w:rPr>
      </w:pPr>
      <w:r w:rsidRPr="00DD198E">
        <w:rPr>
          <w:rFonts w:ascii="Arial" w:hAnsi="Arial"/>
          <w:sz w:val="22"/>
        </w:rPr>
        <w:t xml:space="preserve">Praxen und Krankenhäuser, die mit dem secunet konnektor an die Telematikinfrastruktur angebunden sind, </w:t>
      </w:r>
      <w:r w:rsidR="006805FC">
        <w:rPr>
          <w:rFonts w:ascii="Arial" w:hAnsi="Arial"/>
          <w:sz w:val="22"/>
        </w:rPr>
        <w:t xml:space="preserve">können </w:t>
      </w:r>
      <w:r w:rsidR="006805FC" w:rsidRPr="00DD198E">
        <w:rPr>
          <w:rFonts w:ascii="Arial" w:hAnsi="Arial"/>
          <w:sz w:val="22"/>
        </w:rPr>
        <w:t xml:space="preserve">das Upgrade für den </w:t>
      </w:r>
      <w:r w:rsidR="006805FC">
        <w:rPr>
          <w:rFonts w:ascii="Arial" w:hAnsi="Arial"/>
          <w:sz w:val="22"/>
        </w:rPr>
        <w:t>secunet k</w:t>
      </w:r>
      <w:r w:rsidR="006805FC" w:rsidRPr="00DD198E">
        <w:rPr>
          <w:rFonts w:ascii="Arial" w:hAnsi="Arial"/>
          <w:sz w:val="22"/>
        </w:rPr>
        <w:t xml:space="preserve">onnektor </w:t>
      </w:r>
      <w:r w:rsidRPr="00DD198E">
        <w:rPr>
          <w:rFonts w:ascii="Arial" w:hAnsi="Arial"/>
          <w:sz w:val="22"/>
        </w:rPr>
        <w:t>in den nächsten Wochen installieren. In Kombination mit den jeweiligen Softwaresystemen</w:t>
      </w:r>
      <w:r w:rsidR="00CE722C">
        <w:rPr>
          <w:rFonts w:ascii="Arial" w:hAnsi="Arial"/>
          <w:sz w:val="22"/>
        </w:rPr>
        <w:t xml:space="preserve">, welche die ePA unterstützen, </w:t>
      </w:r>
      <w:r w:rsidRPr="00DD198E">
        <w:rPr>
          <w:rFonts w:ascii="Arial" w:hAnsi="Arial"/>
          <w:sz w:val="22"/>
        </w:rPr>
        <w:t>sind die Leistungserbringer startklar für die elektronische Patientenakte. Die Patienten haben dann die Möglichkeit, mit ihrem Arzt ihre ePA mit Daten und Dokumenten zu befüllen.</w:t>
      </w:r>
    </w:p>
    <w:p w:rsidR="00A164CA" w:rsidRPr="00DD198E" w:rsidRDefault="00DD198E" w:rsidP="00DD198E">
      <w:pPr>
        <w:spacing w:after="120" w:line="360" w:lineRule="auto"/>
        <w:ind w:left="697"/>
        <w:jc w:val="both"/>
        <w:rPr>
          <w:rFonts w:ascii="Arial" w:hAnsi="Arial"/>
          <w:sz w:val="22"/>
        </w:rPr>
      </w:pPr>
      <w:r w:rsidRPr="00DD198E">
        <w:rPr>
          <w:rFonts w:ascii="Arial" w:hAnsi="Arial"/>
          <w:sz w:val="22"/>
        </w:rPr>
        <w:lastRenderedPageBreak/>
        <w:t>Das ePA-Upgrade steht für beide Bauformen den Einboxkonnektor und den Rechenzentrumskonnektor für große Einrichtungen zur Verfügung.</w:t>
      </w:r>
    </w:p>
    <w:p w:rsidR="00A164CA" w:rsidRPr="00D64551" w:rsidRDefault="00A164CA">
      <w:pPr>
        <w:ind w:left="708"/>
        <w:rPr>
          <w:rFonts w:ascii="Arial" w:hAnsi="Arial"/>
          <w:sz w:val="16"/>
        </w:rPr>
      </w:pPr>
    </w:p>
    <w:p w:rsidR="00A164CA" w:rsidRPr="00D64551" w:rsidRDefault="00A164CA">
      <w:pPr>
        <w:ind w:left="708"/>
        <w:rPr>
          <w:rFonts w:ascii="Arial" w:hAnsi="Arial"/>
          <w:sz w:val="16"/>
        </w:rPr>
      </w:pPr>
    </w:p>
    <w:p w:rsidR="00A164CA" w:rsidRPr="00D64551" w:rsidRDefault="00A164CA">
      <w:pPr>
        <w:ind w:left="708"/>
        <w:rPr>
          <w:rFonts w:ascii="Arial" w:hAnsi="Arial"/>
          <w:sz w:val="16"/>
        </w:rPr>
      </w:pPr>
    </w:p>
    <w:p w:rsidR="00A164CA" w:rsidRPr="00D64551"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7" w:history="1">
        <w:r>
          <w:rPr>
            <w:rStyle w:val="Hyperlink"/>
            <w:rFonts w:ascii="Arial" w:hAnsi="Arial"/>
            <w:sz w:val="16"/>
          </w:rPr>
          <w:t>presse@secunet.com</w:t>
        </w:r>
      </w:hyperlink>
    </w:p>
    <w:p w:rsidR="00A164CA" w:rsidRDefault="0054347B">
      <w:pPr>
        <w:pStyle w:val="Kopfzeile"/>
        <w:ind w:left="709"/>
        <w:jc w:val="both"/>
        <w:rPr>
          <w:rFonts w:ascii="Arial" w:hAnsi="Arial"/>
          <w:sz w:val="16"/>
        </w:rPr>
      </w:pPr>
      <w:hyperlink r:id="rId8"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F84869" w:rsidRPr="002935D4" w:rsidRDefault="00F84869" w:rsidP="00F84869">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rsidR="00F84869" w:rsidRDefault="00F84869" w:rsidP="00F84869">
      <w:pPr>
        <w:pStyle w:val="Kopfzeile"/>
        <w:ind w:left="709" w:right="-2"/>
        <w:jc w:val="both"/>
        <w:outlineLvl w:val="0"/>
        <w:rPr>
          <w:rFonts w:ascii="Arial" w:hAnsi="Arial"/>
          <w:b/>
          <w:sz w:val="16"/>
        </w:rPr>
      </w:pPr>
    </w:p>
    <w:p w:rsidR="00F84869" w:rsidRPr="002935D4" w:rsidRDefault="00F84869" w:rsidP="00F84869">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IIoT, </w:t>
      </w:r>
      <w:r w:rsidR="00F21A51">
        <w:rPr>
          <w:rFonts w:ascii="Arial" w:hAnsi="Arial" w:cs="Arial"/>
          <w:sz w:val="16"/>
          <w:szCs w:val="16"/>
        </w:rPr>
        <w:t>eGovernment</w:t>
      </w:r>
      <w:r w:rsidRPr="002935D4">
        <w:rPr>
          <w:rFonts w:ascii="Arial" w:hAnsi="Arial" w:cs="Arial"/>
          <w:sz w:val="16"/>
          <w:szCs w:val="16"/>
        </w:rPr>
        <w:t xml:space="preserve"> und eHealth. Mit den Sicherheitslösungen von secunet können Unternehmen höchste Sicherheitsstandards in Digitalisierungsprojekten einhalten und damit ihre digitale Transformation vorantreiben. </w:t>
      </w:r>
    </w:p>
    <w:p w:rsidR="00F84869" w:rsidRDefault="00F84869" w:rsidP="00F84869">
      <w:pPr>
        <w:ind w:left="709" w:hanging="12"/>
        <w:jc w:val="both"/>
        <w:rPr>
          <w:rFonts w:ascii="Arial" w:hAnsi="Arial" w:cs="Arial"/>
          <w:sz w:val="16"/>
          <w:szCs w:val="16"/>
        </w:rPr>
      </w:pPr>
    </w:p>
    <w:p w:rsidR="00CA75DB" w:rsidRDefault="00F84869" w:rsidP="00F84869">
      <w:pPr>
        <w:ind w:left="709" w:hanging="12"/>
        <w:jc w:val="both"/>
        <w:rPr>
          <w:rFonts w:ascii="Arial" w:hAnsi="Arial" w:cs="Arial"/>
          <w:sz w:val="16"/>
          <w:szCs w:val="16"/>
        </w:rPr>
      </w:pPr>
      <w:r w:rsidRPr="002935D4">
        <w:rPr>
          <w:rFonts w:ascii="Arial" w:hAnsi="Arial" w:cs="Arial"/>
          <w:sz w:val="16"/>
          <w:szCs w:val="16"/>
        </w:rPr>
        <w:t xml:space="preserve">Über 700 Expert*innen stärken die digitale Souveränität von Regierungen, Unternehmen und der Gesellschaft. Zu den Kunden zählen die Bundesministerien, mehr als 20 DAX-Konzerne sowie weitere nationale und internationale Organisationen. Das Unternehmen wurde 1997 gegründet. Es ist im </w:t>
      </w:r>
      <w:r w:rsidR="00B94BF9"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sidR="00CA75DB">
        <w:rPr>
          <w:rFonts w:ascii="Arial" w:hAnsi="Arial" w:cs="Arial"/>
          <w:sz w:val="16"/>
          <w:szCs w:val="16"/>
        </w:rPr>
        <w:t xml:space="preserve"> </w:t>
      </w:r>
      <w:r w:rsidR="00CA75DB" w:rsidRPr="00CA75DB">
        <w:rPr>
          <w:rFonts w:ascii="Arial" w:hAnsi="Arial" w:cs="Arial"/>
          <w:sz w:val="16"/>
          <w:szCs w:val="16"/>
        </w:rPr>
        <w:t xml:space="preserve">2020 einen Umsatz von </w:t>
      </w:r>
      <w:r w:rsidR="006D155A">
        <w:rPr>
          <w:rFonts w:ascii="Arial" w:hAnsi="Arial" w:cs="Arial"/>
          <w:sz w:val="16"/>
          <w:szCs w:val="16"/>
        </w:rPr>
        <w:t xml:space="preserve">rund </w:t>
      </w:r>
      <w:r w:rsidR="00CA75DB" w:rsidRPr="00CA75DB">
        <w:rPr>
          <w:rFonts w:ascii="Arial" w:hAnsi="Arial" w:cs="Arial"/>
          <w:sz w:val="16"/>
          <w:szCs w:val="16"/>
        </w:rPr>
        <w:t>285 Mio. Euro.</w:t>
      </w:r>
    </w:p>
    <w:p w:rsidR="00F84869" w:rsidRDefault="00F84869" w:rsidP="00F84869">
      <w:pPr>
        <w:ind w:left="709" w:hanging="12"/>
        <w:jc w:val="both"/>
        <w:rPr>
          <w:rFonts w:ascii="Arial" w:hAnsi="Arial" w:cs="Arial"/>
          <w:sz w:val="16"/>
          <w:szCs w:val="16"/>
        </w:rPr>
      </w:pPr>
    </w:p>
    <w:p w:rsidR="00F84869" w:rsidRDefault="00F84869" w:rsidP="00F84869">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rsidR="00F84869" w:rsidRDefault="00F84869" w:rsidP="00F84869">
      <w:pPr>
        <w:pStyle w:val="Kopfzeile"/>
        <w:tabs>
          <w:tab w:val="clear" w:pos="4536"/>
          <w:tab w:val="clear" w:pos="9072"/>
        </w:tabs>
        <w:ind w:left="709" w:right="-2"/>
        <w:jc w:val="both"/>
        <w:rPr>
          <w:rFonts w:ascii="Arial" w:hAnsi="Arial"/>
          <w:sz w:val="16"/>
        </w:rPr>
      </w:pPr>
    </w:p>
    <w:p w:rsidR="00F84869" w:rsidRDefault="00B94BF9" w:rsidP="00F84869">
      <w:pPr>
        <w:ind w:left="697"/>
        <w:jc w:val="both"/>
        <w:rPr>
          <w:rFonts w:ascii="Arial" w:hAnsi="Arial"/>
          <w:i/>
          <w:sz w:val="16"/>
        </w:rPr>
      </w:pPr>
      <w:r>
        <w:rPr>
          <w:rFonts w:ascii="Arial" w:hAnsi="Arial"/>
          <w:i/>
          <w:sz w:val="16"/>
        </w:rPr>
        <w:t>W</w:t>
      </w:r>
      <w:r w:rsidR="00F84869">
        <w:rPr>
          <w:rFonts w:ascii="Arial" w:hAnsi="Arial"/>
          <w:i/>
          <w:sz w:val="16"/>
        </w:rPr>
        <w:t xml:space="preserve">eitere Informationen finden Sie unter </w:t>
      </w:r>
      <w:hyperlink r:id="rId9" w:history="1">
        <w:r w:rsidR="00F84869">
          <w:rPr>
            <w:rStyle w:val="Hyperlink"/>
            <w:rFonts w:ascii="Arial" w:hAnsi="Arial"/>
            <w:i/>
            <w:sz w:val="16"/>
          </w:rPr>
          <w:t>www.secunet.com</w:t>
        </w:r>
      </w:hyperlink>
      <w:r w:rsidR="00F84869">
        <w:rPr>
          <w:rFonts w:ascii="Arial" w:hAnsi="Arial"/>
          <w:i/>
          <w:sz w:val="16"/>
        </w:rPr>
        <w:t>.</w:t>
      </w:r>
    </w:p>
    <w:p w:rsidR="00DA5758" w:rsidRPr="006A77C8" w:rsidRDefault="00DA5758" w:rsidP="001075C5">
      <w:pPr>
        <w:ind w:left="708"/>
        <w:rPr>
          <w:rFonts w:ascii="Arial" w:hAnsi="Arial" w:cs="Arial"/>
          <w:b/>
          <w:sz w:val="16"/>
          <w:szCs w:val="16"/>
        </w:rPr>
      </w:pPr>
    </w:p>
    <w:p w:rsidR="001075C5" w:rsidRDefault="001075C5" w:rsidP="001075C5">
      <w:pPr>
        <w:ind w:left="708"/>
        <w:rPr>
          <w:rFonts w:ascii="Arial" w:hAnsi="Arial" w:cs="Arial"/>
          <w:b/>
          <w:sz w:val="16"/>
          <w:szCs w:val="16"/>
        </w:rPr>
      </w:pPr>
    </w:p>
    <w:p w:rsidR="00B94BF9" w:rsidRPr="006A77C8" w:rsidRDefault="00B94BF9" w:rsidP="001075C5">
      <w:pPr>
        <w:ind w:left="708"/>
        <w:rPr>
          <w:rFonts w:ascii="Arial" w:hAnsi="Arial" w:cs="Arial"/>
          <w:b/>
          <w:sz w:val="16"/>
          <w:szCs w:val="16"/>
        </w:rPr>
      </w:pPr>
    </w:p>
    <w:p w:rsidR="00B35383" w:rsidRPr="00B35383" w:rsidRDefault="00B35383" w:rsidP="00A3586E">
      <w:pPr>
        <w:ind w:left="708"/>
        <w:jc w:val="both"/>
        <w:rPr>
          <w:rFonts w:ascii="Arial" w:hAnsi="Arial" w:cs="Arial"/>
          <w:sz w:val="16"/>
          <w:szCs w:val="16"/>
        </w:rPr>
      </w:pPr>
    </w:p>
    <w:sectPr w:rsidR="00B35383" w:rsidRPr="00B35383">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4347B">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4347B">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6D155A" w:rsidP="00EF4B33">
    <w:pPr>
      <w:pStyle w:val="Kopfzeile"/>
      <w:spacing w:before="1600" w:after="480"/>
      <w:ind w:left="709" w:right="1418"/>
      <w:rPr>
        <w:rFonts w:ascii="Arial" w:hAnsi="Arial"/>
        <w:sz w:val="32"/>
      </w:rPr>
    </w:pPr>
    <w:r>
      <w:rPr>
        <w:noProof/>
      </w:rPr>
      <w:drawing>
        <wp:anchor distT="0" distB="0" distL="114300" distR="114300" simplePos="0" relativeHeight="251663360" behindDoc="0" locked="0" layoutInCell="1" allowOverlap="1" wp14:anchorId="15FF3ED5" wp14:editId="7C1A3722">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60288" behindDoc="1" locked="0" layoutInCell="1" allowOverlap="1" wp14:anchorId="47EA2478" wp14:editId="7C85D9B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35FD7428" wp14:editId="575DEAFC">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435"/>
    <w:rsid w:val="00036D1C"/>
    <w:rsid w:val="00046C8B"/>
    <w:rsid w:val="00070E91"/>
    <w:rsid w:val="000A4DA4"/>
    <w:rsid w:val="000D0B22"/>
    <w:rsid w:val="001075C5"/>
    <w:rsid w:val="001206D1"/>
    <w:rsid w:val="001249CD"/>
    <w:rsid w:val="00130C10"/>
    <w:rsid w:val="0014673C"/>
    <w:rsid w:val="0015116B"/>
    <w:rsid w:val="00193E2D"/>
    <w:rsid w:val="001F0C6F"/>
    <w:rsid w:val="001F70FA"/>
    <w:rsid w:val="00227CF5"/>
    <w:rsid w:val="00233340"/>
    <w:rsid w:val="00243467"/>
    <w:rsid w:val="002548A9"/>
    <w:rsid w:val="0026186F"/>
    <w:rsid w:val="00270286"/>
    <w:rsid w:val="00290ED3"/>
    <w:rsid w:val="002976D1"/>
    <w:rsid w:val="002A6536"/>
    <w:rsid w:val="002B544D"/>
    <w:rsid w:val="002B6ED4"/>
    <w:rsid w:val="003124BB"/>
    <w:rsid w:val="00327AD2"/>
    <w:rsid w:val="00345097"/>
    <w:rsid w:val="00361AC0"/>
    <w:rsid w:val="003A2B5B"/>
    <w:rsid w:val="003E446B"/>
    <w:rsid w:val="004144F5"/>
    <w:rsid w:val="00440BD5"/>
    <w:rsid w:val="00456FA4"/>
    <w:rsid w:val="00486F57"/>
    <w:rsid w:val="00497979"/>
    <w:rsid w:val="004A0F46"/>
    <w:rsid w:val="004A6854"/>
    <w:rsid w:val="004B4137"/>
    <w:rsid w:val="0052247A"/>
    <w:rsid w:val="0054347B"/>
    <w:rsid w:val="005B303F"/>
    <w:rsid w:val="005F5428"/>
    <w:rsid w:val="006068C1"/>
    <w:rsid w:val="006338C8"/>
    <w:rsid w:val="0066336C"/>
    <w:rsid w:val="00676CAA"/>
    <w:rsid w:val="006805FC"/>
    <w:rsid w:val="006877AA"/>
    <w:rsid w:val="006A77C8"/>
    <w:rsid w:val="006B303A"/>
    <w:rsid w:val="006C7756"/>
    <w:rsid w:val="006D155A"/>
    <w:rsid w:val="007505DB"/>
    <w:rsid w:val="00762F43"/>
    <w:rsid w:val="00791DED"/>
    <w:rsid w:val="007A03D5"/>
    <w:rsid w:val="007F408C"/>
    <w:rsid w:val="007F683E"/>
    <w:rsid w:val="0081682E"/>
    <w:rsid w:val="00816873"/>
    <w:rsid w:val="0087418A"/>
    <w:rsid w:val="008813D3"/>
    <w:rsid w:val="008878D7"/>
    <w:rsid w:val="00894DF7"/>
    <w:rsid w:val="008C1149"/>
    <w:rsid w:val="008C280E"/>
    <w:rsid w:val="008E063E"/>
    <w:rsid w:val="008E434F"/>
    <w:rsid w:val="008E7A1D"/>
    <w:rsid w:val="009013CE"/>
    <w:rsid w:val="0092449F"/>
    <w:rsid w:val="00951871"/>
    <w:rsid w:val="009605DB"/>
    <w:rsid w:val="00963B58"/>
    <w:rsid w:val="00971CEF"/>
    <w:rsid w:val="00974918"/>
    <w:rsid w:val="0098341B"/>
    <w:rsid w:val="00997188"/>
    <w:rsid w:val="009E4CA0"/>
    <w:rsid w:val="00A061AF"/>
    <w:rsid w:val="00A164CA"/>
    <w:rsid w:val="00A20F4C"/>
    <w:rsid w:val="00A3586E"/>
    <w:rsid w:val="00A54B8A"/>
    <w:rsid w:val="00AA0E95"/>
    <w:rsid w:val="00AA3C26"/>
    <w:rsid w:val="00AB6522"/>
    <w:rsid w:val="00AC2590"/>
    <w:rsid w:val="00AD7DC7"/>
    <w:rsid w:val="00AE053A"/>
    <w:rsid w:val="00AE1A2F"/>
    <w:rsid w:val="00B102E4"/>
    <w:rsid w:val="00B13497"/>
    <w:rsid w:val="00B16A96"/>
    <w:rsid w:val="00B35383"/>
    <w:rsid w:val="00B44A52"/>
    <w:rsid w:val="00B50389"/>
    <w:rsid w:val="00B734E1"/>
    <w:rsid w:val="00B94BF9"/>
    <w:rsid w:val="00BA519E"/>
    <w:rsid w:val="00BC4024"/>
    <w:rsid w:val="00BD1C24"/>
    <w:rsid w:val="00BD1D32"/>
    <w:rsid w:val="00BE42B0"/>
    <w:rsid w:val="00BF3CE4"/>
    <w:rsid w:val="00C013A9"/>
    <w:rsid w:val="00C05654"/>
    <w:rsid w:val="00C17202"/>
    <w:rsid w:val="00C23944"/>
    <w:rsid w:val="00C2721E"/>
    <w:rsid w:val="00C34ED4"/>
    <w:rsid w:val="00C421CE"/>
    <w:rsid w:val="00C45DBD"/>
    <w:rsid w:val="00C46CAD"/>
    <w:rsid w:val="00C62781"/>
    <w:rsid w:val="00C93B49"/>
    <w:rsid w:val="00CA75DB"/>
    <w:rsid w:val="00CB58B4"/>
    <w:rsid w:val="00CB5FD7"/>
    <w:rsid w:val="00CE722C"/>
    <w:rsid w:val="00CF245E"/>
    <w:rsid w:val="00D46F52"/>
    <w:rsid w:val="00D46FDB"/>
    <w:rsid w:val="00D50F10"/>
    <w:rsid w:val="00D51FAC"/>
    <w:rsid w:val="00D612F2"/>
    <w:rsid w:val="00D64551"/>
    <w:rsid w:val="00D71C71"/>
    <w:rsid w:val="00D869EC"/>
    <w:rsid w:val="00D870FE"/>
    <w:rsid w:val="00DA5758"/>
    <w:rsid w:val="00DC3650"/>
    <w:rsid w:val="00DD198E"/>
    <w:rsid w:val="00DD2F97"/>
    <w:rsid w:val="00DF4AA7"/>
    <w:rsid w:val="00E029B6"/>
    <w:rsid w:val="00E45F30"/>
    <w:rsid w:val="00E62AB2"/>
    <w:rsid w:val="00E630DC"/>
    <w:rsid w:val="00E83A44"/>
    <w:rsid w:val="00E8552B"/>
    <w:rsid w:val="00EA6663"/>
    <w:rsid w:val="00EA6FC6"/>
    <w:rsid w:val="00EB7AEA"/>
    <w:rsid w:val="00EC6C28"/>
    <w:rsid w:val="00EE62C0"/>
    <w:rsid w:val="00EF4B33"/>
    <w:rsid w:val="00EF7865"/>
    <w:rsid w:val="00F21A51"/>
    <w:rsid w:val="00F34A37"/>
    <w:rsid w:val="00F56F39"/>
    <w:rsid w:val="00F603AA"/>
    <w:rsid w:val="00F663BA"/>
    <w:rsid w:val="00F6657E"/>
    <w:rsid w:val="00F73C27"/>
    <w:rsid w:val="00F7408E"/>
    <w:rsid w:val="00F84869"/>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327642A2"/>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esse@secu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3438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secunet Security Networks AG</dc:creator>
  <cp:lastModifiedBy>Franitza, Patrick</cp:lastModifiedBy>
  <cp:revision>9</cp:revision>
  <cp:lastPrinted>2021-05-07T10:15:00Z</cp:lastPrinted>
  <dcterms:created xsi:type="dcterms:W3CDTF">2021-05-05T20:14:00Z</dcterms:created>
  <dcterms:modified xsi:type="dcterms:W3CDTF">2021-05-07T10:16:00Z</dcterms:modified>
</cp:coreProperties>
</file>