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3CD" w:rsidRDefault="00FF5714" w:rsidP="005903CD">
      <w:pPr>
        <w:spacing w:line="276" w:lineRule="auto"/>
        <w:ind w:left="697"/>
        <w:outlineLvl w:val="0"/>
        <w:rPr>
          <w:rFonts w:ascii="Arial" w:eastAsia="Arial" w:hAnsi="Arial" w:cs="Arial"/>
          <w:b/>
          <w:sz w:val="32"/>
        </w:rPr>
      </w:pPr>
      <w:bookmarkStart w:id="0" w:name="Section1"/>
      <w:bookmarkEnd w:id="0"/>
      <w:r>
        <w:rPr>
          <w:rFonts w:ascii="Arial" w:eastAsia="Arial" w:hAnsi="Arial" w:cs="Arial"/>
          <w:b/>
          <w:sz w:val="32"/>
        </w:rPr>
        <w:t xml:space="preserve">Zwischenergebnis nach dem ersten Quartal: </w:t>
      </w:r>
      <w:r w:rsidR="005903CD" w:rsidRPr="009459BD">
        <w:rPr>
          <w:rFonts w:ascii="Arial" w:eastAsia="Arial" w:hAnsi="Arial" w:cs="Arial"/>
          <w:b/>
          <w:sz w:val="32"/>
        </w:rPr>
        <w:t xml:space="preserve">secunet </w:t>
      </w:r>
      <w:r>
        <w:rPr>
          <w:rFonts w:ascii="Arial" w:eastAsia="Arial" w:hAnsi="Arial" w:cs="Arial"/>
          <w:b/>
          <w:sz w:val="32"/>
        </w:rPr>
        <w:t>erzielt hervorragende Ergebnisse</w:t>
      </w:r>
      <w:r w:rsidR="005903CD" w:rsidRPr="009459BD">
        <w:rPr>
          <w:rFonts w:ascii="Arial" w:eastAsia="Arial" w:hAnsi="Arial" w:cs="Arial"/>
          <w:b/>
          <w:sz w:val="32"/>
        </w:rPr>
        <w:t xml:space="preserve"> </w:t>
      </w:r>
    </w:p>
    <w:p w:rsidR="005903CD" w:rsidRPr="009459BD" w:rsidRDefault="005903CD" w:rsidP="005903CD">
      <w:pPr>
        <w:spacing w:line="276" w:lineRule="auto"/>
        <w:ind w:left="697"/>
        <w:outlineLvl w:val="0"/>
      </w:pPr>
    </w:p>
    <w:p w:rsidR="005903CD" w:rsidRPr="005903CD" w:rsidRDefault="005903CD" w:rsidP="005903CD">
      <w:pPr>
        <w:pStyle w:val="Listenabsatz"/>
        <w:numPr>
          <w:ilvl w:val="0"/>
          <w:numId w:val="27"/>
        </w:numPr>
        <w:spacing w:line="360" w:lineRule="auto"/>
        <w:jc w:val="both"/>
        <w:rPr>
          <w:rFonts w:ascii="Arial" w:eastAsia="Arial" w:hAnsi="Arial" w:cs="Arial"/>
        </w:rPr>
      </w:pPr>
      <w:r w:rsidRPr="005903CD">
        <w:rPr>
          <w:rFonts w:ascii="Arial" w:eastAsia="Arial" w:hAnsi="Arial" w:cs="Arial"/>
          <w:b/>
        </w:rPr>
        <w:t xml:space="preserve">Umsatz steigt um </w:t>
      </w:r>
      <w:r w:rsidR="00FF5714">
        <w:rPr>
          <w:rFonts w:ascii="Arial" w:eastAsia="Arial" w:hAnsi="Arial" w:cs="Arial"/>
          <w:b/>
        </w:rPr>
        <w:t>118</w:t>
      </w:r>
      <w:r w:rsidR="00B14F16">
        <w:rPr>
          <w:rFonts w:ascii="Arial" w:eastAsia="Arial" w:hAnsi="Arial" w:cs="Arial"/>
          <w:b/>
        </w:rPr>
        <w:t xml:space="preserve"> </w:t>
      </w:r>
      <w:r w:rsidRPr="005903CD">
        <w:rPr>
          <w:rFonts w:ascii="Arial" w:eastAsia="Arial" w:hAnsi="Arial" w:cs="Arial"/>
          <w:b/>
        </w:rPr>
        <w:t xml:space="preserve">% auf </w:t>
      </w:r>
      <w:r w:rsidR="00FF5714">
        <w:rPr>
          <w:rFonts w:ascii="Arial" w:eastAsia="Arial" w:hAnsi="Arial" w:cs="Arial"/>
          <w:b/>
        </w:rPr>
        <w:t>71,2</w:t>
      </w:r>
      <w:r w:rsidRPr="005903CD">
        <w:rPr>
          <w:rFonts w:ascii="Arial" w:eastAsia="Arial" w:hAnsi="Arial" w:cs="Arial"/>
          <w:b/>
        </w:rPr>
        <w:t xml:space="preserve"> Mio. Euro (</w:t>
      </w:r>
      <w:r w:rsidR="00FF5714">
        <w:rPr>
          <w:rFonts w:ascii="Arial" w:eastAsia="Arial" w:hAnsi="Arial" w:cs="Arial"/>
          <w:b/>
        </w:rPr>
        <w:t>Q1 2020</w:t>
      </w:r>
      <w:r w:rsidRPr="005903CD">
        <w:rPr>
          <w:rFonts w:ascii="Arial" w:eastAsia="Arial" w:hAnsi="Arial" w:cs="Arial"/>
          <w:b/>
        </w:rPr>
        <w:t xml:space="preserve">: </w:t>
      </w:r>
      <w:r w:rsidR="00FF5714">
        <w:rPr>
          <w:rFonts w:ascii="Arial" w:eastAsia="Arial" w:hAnsi="Arial" w:cs="Arial"/>
          <w:b/>
        </w:rPr>
        <w:t>32,6</w:t>
      </w:r>
      <w:r w:rsidRPr="005903CD">
        <w:rPr>
          <w:rFonts w:ascii="Arial" w:eastAsia="Arial" w:hAnsi="Arial" w:cs="Arial"/>
          <w:b/>
        </w:rPr>
        <w:t xml:space="preserve"> Mio. Euro)</w:t>
      </w:r>
    </w:p>
    <w:p w:rsidR="005903CD" w:rsidRPr="005903CD" w:rsidRDefault="005903CD" w:rsidP="005903CD">
      <w:pPr>
        <w:numPr>
          <w:ilvl w:val="0"/>
          <w:numId w:val="27"/>
        </w:numPr>
        <w:spacing w:line="360" w:lineRule="auto"/>
        <w:jc w:val="both"/>
        <w:rPr>
          <w:rFonts w:ascii="Arial" w:eastAsia="Arial" w:hAnsi="Arial" w:cs="Arial"/>
          <w:b/>
        </w:rPr>
      </w:pPr>
      <w:r w:rsidRPr="005903CD">
        <w:rPr>
          <w:rFonts w:ascii="Arial" w:eastAsia="Arial" w:hAnsi="Arial" w:cs="Arial"/>
          <w:b/>
        </w:rPr>
        <w:t xml:space="preserve">EBIT </w:t>
      </w:r>
      <w:r w:rsidR="0006220C">
        <w:rPr>
          <w:rFonts w:ascii="Arial" w:eastAsia="Arial" w:hAnsi="Arial" w:cs="Arial"/>
          <w:b/>
        </w:rPr>
        <w:t>verbessert sich</w:t>
      </w:r>
      <w:r w:rsidR="00FF5714">
        <w:rPr>
          <w:rFonts w:ascii="Arial" w:eastAsia="Arial" w:hAnsi="Arial" w:cs="Arial"/>
          <w:b/>
        </w:rPr>
        <w:t xml:space="preserve"> </w:t>
      </w:r>
      <w:r w:rsidRPr="005903CD">
        <w:rPr>
          <w:rFonts w:ascii="Arial" w:eastAsia="Arial" w:hAnsi="Arial" w:cs="Arial"/>
          <w:b/>
        </w:rPr>
        <w:t xml:space="preserve">auf </w:t>
      </w:r>
      <w:r w:rsidR="00FF5714">
        <w:rPr>
          <w:rFonts w:ascii="Arial" w:eastAsia="Arial" w:hAnsi="Arial" w:cs="Arial"/>
          <w:b/>
        </w:rPr>
        <w:t>12,2</w:t>
      </w:r>
      <w:r w:rsidRPr="005903CD">
        <w:rPr>
          <w:rFonts w:ascii="Arial" w:eastAsia="Arial" w:hAnsi="Arial" w:cs="Arial"/>
          <w:b/>
        </w:rPr>
        <w:t xml:space="preserve"> Mio. Euro (</w:t>
      </w:r>
      <w:r w:rsidR="00FF5714">
        <w:rPr>
          <w:rFonts w:ascii="Arial" w:eastAsia="Arial" w:hAnsi="Arial" w:cs="Arial"/>
          <w:b/>
        </w:rPr>
        <w:t>Q1 2020: 0,0</w:t>
      </w:r>
      <w:r w:rsidRPr="005903CD">
        <w:rPr>
          <w:rFonts w:ascii="Arial" w:eastAsia="Arial" w:hAnsi="Arial" w:cs="Arial"/>
          <w:b/>
        </w:rPr>
        <w:t xml:space="preserve"> Mio. Euro)</w:t>
      </w:r>
    </w:p>
    <w:p w:rsidR="005903CD" w:rsidRPr="005903CD" w:rsidRDefault="005903CD" w:rsidP="005903CD">
      <w:pPr>
        <w:spacing w:before="120" w:line="360" w:lineRule="auto"/>
        <w:ind w:left="697"/>
        <w:jc w:val="both"/>
        <w:rPr>
          <w:rFonts w:ascii="Arial" w:eastAsia="Arial" w:hAnsi="Arial" w:cs="Arial"/>
          <w:b/>
          <w:sz w:val="22"/>
        </w:rPr>
      </w:pPr>
      <w:r w:rsidRPr="009459BD">
        <w:rPr>
          <w:rFonts w:ascii="Arial" w:eastAsia="Arial" w:hAnsi="Arial" w:cs="Arial"/>
          <w:b/>
          <w:i/>
          <w:sz w:val="22"/>
        </w:rPr>
        <w:t xml:space="preserve">[Essen, </w:t>
      </w:r>
      <w:r w:rsidR="00FF5714" w:rsidRPr="00F86254">
        <w:rPr>
          <w:rFonts w:ascii="Arial" w:eastAsia="Arial" w:hAnsi="Arial" w:cs="Arial"/>
          <w:b/>
          <w:i/>
          <w:sz w:val="22"/>
        </w:rPr>
        <w:t>5</w:t>
      </w:r>
      <w:r w:rsidRPr="00F86254">
        <w:rPr>
          <w:rFonts w:ascii="Arial" w:eastAsia="Arial" w:hAnsi="Arial" w:cs="Arial"/>
          <w:b/>
          <w:i/>
          <w:sz w:val="22"/>
        </w:rPr>
        <w:t xml:space="preserve">. </w:t>
      </w:r>
      <w:r w:rsidR="00FF5714" w:rsidRPr="00F86254">
        <w:rPr>
          <w:rFonts w:ascii="Arial" w:eastAsia="Arial" w:hAnsi="Arial" w:cs="Arial"/>
          <w:b/>
          <w:i/>
          <w:sz w:val="22"/>
        </w:rPr>
        <w:t>Mai</w:t>
      </w:r>
      <w:r w:rsidRPr="00F86254">
        <w:rPr>
          <w:rFonts w:ascii="Arial" w:eastAsia="Arial" w:hAnsi="Arial" w:cs="Arial"/>
          <w:b/>
          <w:i/>
          <w:sz w:val="22"/>
        </w:rPr>
        <w:t xml:space="preserve"> 2021]</w:t>
      </w:r>
      <w:r w:rsidRPr="009459BD">
        <w:rPr>
          <w:rFonts w:ascii="Arial" w:eastAsia="Arial" w:hAnsi="Arial" w:cs="Arial"/>
          <w:b/>
          <w:sz w:val="22"/>
        </w:rPr>
        <w:t xml:space="preserve"> Die secunet Security Networks AG (ISIN DE0007276503, WKN 727650</w:t>
      </w:r>
      <w:r w:rsidR="00FA54A5">
        <w:rPr>
          <w:rFonts w:ascii="Arial" w:eastAsia="Arial" w:hAnsi="Arial" w:cs="Arial"/>
          <w:b/>
          <w:sz w:val="22"/>
        </w:rPr>
        <w:t xml:space="preserve">) </w:t>
      </w:r>
      <w:r>
        <w:rPr>
          <w:rFonts w:ascii="Arial" w:eastAsia="Arial" w:hAnsi="Arial" w:cs="Arial"/>
          <w:b/>
          <w:sz w:val="22"/>
        </w:rPr>
        <w:t>v</w:t>
      </w:r>
      <w:r w:rsidRPr="009459BD">
        <w:rPr>
          <w:rFonts w:ascii="Arial" w:eastAsia="Arial" w:hAnsi="Arial" w:cs="Arial"/>
          <w:b/>
          <w:sz w:val="22"/>
        </w:rPr>
        <w:t xml:space="preserve">eröffentlicht heute </w:t>
      </w:r>
      <w:r w:rsidR="00FF5714">
        <w:rPr>
          <w:rFonts w:ascii="Arial" w:eastAsia="Arial" w:hAnsi="Arial" w:cs="Arial"/>
          <w:b/>
          <w:sz w:val="22"/>
        </w:rPr>
        <w:t>die Konzernquartalsmitteilung zum 31. März 2021. Die Gesellschaft übertrifft mit den erzielten Ergebnissen die Erwartungen deutlich.</w:t>
      </w:r>
    </w:p>
    <w:p w:rsidR="00FF5714" w:rsidRDefault="00FF5714" w:rsidP="00FF5714">
      <w:pPr>
        <w:spacing w:before="120" w:line="360" w:lineRule="auto"/>
        <w:ind w:left="697"/>
        <w:jc w:val="both"/>
        <w:rPr>
          <w:rFonts w:ascii="Arial" w:eastAsia="Arial" w:hAnsi="Arial" w:cs="Arial"/>
          <w:sz w:val="22"/>
        </w:rPr>
      </w:pPr>
      <w:r w:rsidRPr="00FF5714">
        <w:rPr>
          <w:rFonts w:ascii="Arial" w:eastAsia="Arial" w:hAnsi="Arial" w:cs="Arial"/>
          <w:sz w:val="22"/>
        </w:rPr>
        <w:t>Die secunet Security Networks AG hat im ersten Quartal des Geschäftsjahres 2021 deutlich bessere Ergebnisse erzielt als zu Beginn des Geschäftsjahres erwartet. Der Konzernumsatz ist im Jahresvergleich um 118</w:t>
      </w:r>
      <w:r w:rsidR="00B14F16">
        <w:rPr>
          <w:rFonts w:ascii="Arial" w:eastAsia="Arial" w:hAnsi="Arial" w:cs="Arial"/>
          <w:sz w:val="22"/>
        </w:rPr>
        <w:t xml:space="preserve"> </w:t>
      </w:r>
      <w:r w:rsidRPr="00FF5714">
        <w:rPr>
          <w:rFonts w:ascii="Arial" w:eastAsia="Arial" w:hAnsi="Arial" w:cs="Arial"/>
          <w:sz w:val="22"/>
        </w:rPr>
        <w:t>% oder 38,6 Mio. Euro auf 71,2 Mio. Euro gestiegen (Q1 2020: 32,6 Mio. Euro). Die signifikante Steigerung ist im Wesentlichen zurückzuführen auf stark gestiegene Produktumsätze (</w:t>
      </w:r>
      <w:r w:rsidR="00B81AB7">
        <w:rPr>
          <w:rFonts w:ascii="Arial" w:eastAsia="Arial" w:hAnsi="Arial" w:cs="Arial"/>
          <w:sz w:val="22"/>
        </w:rPr>
        <w:t>IT-Equipment</w:t>
      </w:r>
      <w:r w:rsidRPr="00FF5714">
        <w:rPr>
          <w:rFonts w:ascii="Arial" w:eastAsia="Arial" w:hAnsi="Arial" w:cs="Arial"/>
          <w:sz w:val="22"/>
        </w:rPr>
        <w:t xml:space="preserve">, Lizenzen, Wartung und Support) mit der SINA-Produktfamilie, insbesondere der SINA Workstation, und dem secunet Gesundheitskonnektor. </w:t>
      </w:r>
    </w:p>
    <w:p w:rsidR="00F95FE4" w:rsidRPr="00FF5714" w:rsidRDefault="00F95FE4" w:rsidP="00F95FE4">
      <w:pPr>
        <w:spacing w:before="120" w:line="360" w:lineRule="auto"/>
        <w:ind w:left="697"/>
        <w:jc w:val="both"/>
        <w:rPr>
          <w:rFonts w:ascii="Arial" w:eastAsia="Arial" w:hAnsi="Arial" w:cs="Arial"/>
          <w:sz w:val="22"/>
        </w:rPr>
      </w:pPr>
      <w:r w:rsidRPr="00FF5714">
        <w:rPr>
          <w:rFonts w:ascii="Arial" w:eastAsia="Arial" w:hAnsi="Arial" w:cs="Arial"/>
          <w:sz w:val="22"/>
        </w:rPr>
        <w:t xml:space="preserve">Aufgrund des stark gestiegenen </w:t>
      </w:r>
      <w:r>
        <w:rPr>
          <w:rFonts w:ascii="Arial" w:eastAsia="Arial" w:hAnsi="Arial" w:cs="Arial"/>
          <w:sz w:val="22"/>
        </w:rPr>
        <w:t>U</w:t>
      </w:r>
      <w:r w:rsidRPr="00FF5714">
        <w:rPr>
          <w:rFonts w:ascii="Arial" w:eastAsia="Arial" w:hAnsi="Arial" w:cs="Arial"/>
          <w:sz w:val="22"/>
        </w:rPr>
        <w:t xml:space="preserve">msatzes ist auch das Ergebnis vor Zinsen und Steuern (EBIT) von 0,0 Mio. Euro im ersten Quartal des Vorjahres auf </w:t>
      </w:r>
      <w:r w:rsidR="00922300">
        <w:rPr>
          <w:rFonts w:ascii="Arial" w:eastAsia="Arial" w:hAnsi="Arial" w:cs="Arial"/>
          <w:sz w:val="22"/>
        </w:rPr>
        <w:t xml:space="preserve">nun </w:t>
      </w:r>
      <w:r w:rsidRPr="00FF5714">
        <w:rPr>
          <w:rFonts w:ascii="Arial" w:eastAsia="Arial" w:hAnsi="Arial" w:cs="Arial"/>
          <w:sz w:val="22"/>
        </w:rPr>
        <w:t>12,2 Mio. Euro gestiegen.</w:t>
      </w:r>
    </w:p>
    <w:p w:rsidR="00F95FE4" w:rsidRPr="00F95FE4" w:rsidRDefault="00FF5714" w:rsidP="00F95FE4">
      <w:pPr>
        <w:spacing w:before="120" w:line="360" w:lineRule="auto"/>
        <w:ind w:left="697"/>
        <w:jc w:val="both"/>
        <w:rPr>
          <w:rFonts w:ascii="Arial" w:eastAsia="Arial" w:hAnsi="Arial" w:cs="Arial"/>
          <w:sz w:val="22"/>
        </w:rPr>
      </w:pPr>
      <w:r>
        <w:rPr>
          <w:rFonts w:ascii="Arial" w:eastAsia="Arial" w:hAnsi="Arial" w:cs="Arial"/>
          <w:sz w:val="22"/>
        </w:rPr>
        <w:t>Im Geschäftsbereich</w:t>
      </w:r>
      <w:r w:rsidR="005903CD" w:rsidRPr="009459BD">
        <w:rPr>
          <w:rFonts w:ascii="Arial" w:eastAsia="Arial" w:hAnsi="Arial" w:cs="Arial"/>
          <w:sz w:val="22"/>
        </w:rPr>
        <w:t xml:space="preserve"> Public </w:t>
      </w:r>
      <w:proofErr w:type="spellStart"/>
      <w:r w:rsidR="005903CD" w:rsidRPr="009459BD">
        <w:rPr>
          <w:rFonts w:ascii="Arial" w:eastAsia="Arial" w:hAnsi="Arial" w:cs="Arial"/>
          <w:sz w:val="22"/>
        </w:rPr>
        <w:t>Sector</w:t>
      </w:r>
      <w:proofErr w:type="spellEnd"/>
      <w:r w:rsidR="005903CD">
        <w:rPr>
          <w:rFonts w:ascii="Arial" w:eastAsia="Arial" w:hAnsi="Arial" w:cs="Arial"/>
          <w:sz w:val="22"/>
        </w:rPr>
        <w:t>, dessen Angebot sich an die öffentlichen Bedarfsträger im In- und Ausland sowie an internationale Organisationen richtet,</w:t>
      </w:r>
      <w:r w:rsidR="005903CD" w:rsidRPr="009459BD">
        <w:rPr>
          <w:rFonts w:ascii="Arial" w:eastAsia="Arial" w:hAnsi="Arial" w:cs="Arial"/>
          <w:sz w:val="22"/>
        </w:rPr>
        <w:t xml:space="preserve"> </w:t>
      </w:r>
      <w:r>
        <w:rPr>
          <w:rFonts w:ascii="Arial" w:eastAsia="Arial" w:hAnsi="Arial" w:cs="Arial"/>
          <w:sz w:val="22"/>
        </w:rPr>
        <w:t xml:space="preserve">ist </w:t>
      </w:r>
      <w:r w:rsidR="005903CD" w:rsidRPr="009459BD">
        <w:rPr>
          <w:rFonts w:ascii="Arial" w:eastAsia="Arial" w:hAnsi="Arial" w:cs="Arial"/>
          <w:sz w:val="22"/>
        </w:rPr>
        <w:t xml:space="preserve">der Umsatz </w:t>
      </w:r>
      <w:r>
        <w:rPr>
          <w:rFonts w:ascii="Arial" w:eastAsia="Arial" w:hAnsi="Arial" w:cs="Arial"/>
          <w:sz w:val="22"/>
        </w:rPr>
        <w:t xml:space="preserve">im Vergleich zum </w:t>
      </w:r>
      <w:r w:rsidRPr="00FF5714">
        <w:rPr>
          <w:rFonts w:ascii="Arial" w:eastAsia="Arial" w:hAnsi="Arial" w:cs="Arial"/>
          <w:sz w:val="22"/>
        </w:rPr>
        <w:t>Vorjahresquartal (26,4 Mio. Euro) um 113</w:t>
      </w:r>
      <w:r w:rsidR="00B14F16">
        <w:rPr>
          <w:rFonts w:ascii="Arial" w:eastAsia="Arial" w:hAnsi="Arial" w:cs="Arial"/>
          <w:sz w:val="22"/>
        </w:rPr>
        <w:t xml:space="preserve"> </w:t>
      </w:r>
      <w:r w:rsidRPr="00FF5714">
        <w:rPr>
          <w:rFonts w:ascii="Arial" w:eastAsia="Arial" w:hAnsi="Arial" w:cs="Arial"/>
          <w:sz w:val="22"/>
        </w:rPr>
        <w:t>% oder 29,8 Mio. Euro auf 56,2 Mio. Euro gestiegen</w:t>
      </w:r>
      <w:r>
        <w:rPr>
          <w:rFonts w:ascii="Arial" w:eastAsia="Arial" w:hAnsi="Arial" w:cs="Arial"/>
          <w:sz w:val="22"/>
        </w:rPr>
        <w:t xml:space="preserve">. </w:t>
      </w:r>
      <w:r w:rsidRPr="00FF5714">
        <w:rPr>
          <w:rFonts w:ascii="Arial" w:eastAsia="Arial" w:hAnsi="Arial" w:cs="Arial"/>
          <w:sz w:val="22"/>
        </w:rPr>
        <w:t>Das Wachstum ist im Wesentlichen bedingt durch ein starkes Produktgeschäft mit der SINA-Produktfamilie. Deutsche Behörden investieren weiterhin in sichere mobile Arbeitsplätze – entsprechend bleibt die Nachfrage besonders nach der SINA Workstation hoch. Der Geschäftsbereich trug damit 79</w:t>
      </w:r>
      <w:r w:rsidR="00B14F16">
        <w:rPr>
          <w:rFonts w:ascii="Arial" w:eastAsia="Arial" w:hAnsi="Arial" w:cs="Arial"/>
          <w:sz w:val="22"/>
        </w:rPr>
        <w:t xml:space="preserve"> </w:t>
      </w:r>
      <w:r w:rsidRPr="00FF5714">
        <w:rPr>
          <w:rFonts w:ascii="Arial" w:eastAsia="Arial" w:hAnsi="Arial" w:cs="Arial"/>
          <w:sz w:val="22"/>
        </w:rPr>
        <w:t>% zum Q1-Konzernumsatz bei (Vorjahresquartal 81</w:t>
      </w:r>
      <w:r w:rsidR="00B14F16">
        <w:rPr>
          <w:rFonts w:ascii="Arial" w:eastAsia="Arial" w:hAnsi="Arial" w:cs="Arial"/>
          <w:sz w:val="22"/>
        </w:rPr>
        <w:t xml:space="preserve"> </w:t>
      </w:r>
      <w:r w:rsidRPr="00FF5714">
        <w:rPr>
          <w:rFonts w:ascii="Arial" w:eastAsia="Arial" w:hAnsi="Arial" w:cs="Arial"/>
          <w:sz w:val="22"/>
        </w:rPr>
        <w:t>%).</w:t>
      </w:r>
      <w:r w:rsidR="00F95FE4">
        <w:rPr>
          <w:rFonts w:ascii="Arial" w:eastAsia="Arial" w:hAnsi="Arial" w:cs="Arial"/>
          <w:sz w:val="22"/>
        </w:rPr>
        <w:t xml:space="preserve"> </w:t>
      </w:r>
      <w:r w:rsidR="00F95FE4" w:rsidRPr="00F95FE4">
        <w:rPr>
          <w:rFonts w:ascii="Arial" w:eastAsia="Arial" w:hAnsi="Arial" w:cs="Arial"/>
          <w:sz w:val="22"/>
        </w:rPr>
        <w:t xml:space="preserve">Der Umsatz im </w:t>
      </w:r>
      <w:r w:rsidR="00F95FE4">
        <w:rPr>
          <w:rFonts w:ascii="Arial" w:eastAsia="Arial" w:hAnsi="Arial" w:cs="Arial"/>
          <w:sz w:val="22"/>
        </w:rPr>
        <w:t xml:space="preserve">Geschäftsbereich </w:t>
      </w:r>
      <w:r w:rsidR="00F95FE4" w:rsidRPr="00F95FE4">
        <w:rPr>
          <w:rFonts w:ascii="Arial" w:eastAsia="Arial" w:hAnsi="Arial" w:cs="Arial"/>
          <w:sz w:val="22"/>
        </w:rPr>
        <w:t xml:space="preserve">Business </w:t>
      </w:r>
      <w:proofErr w:type="spellStart"/>
      <w:r w:rsidR="00F95FE4" w:rsidRPr="00F95FE4">
        <w:rPr>
          <w:rFonts w:ascii="Arial" w:eastAsia="Arial" w:hAnsi="Arial" w:cs="Arial"/>
          <w:sz w:val="22"/>
        </w:rPr>
        <w:t>Sector</w:t>
      </w:r>
      <w:proofErr w:type="spellEnd"/>
      <w:r w:rsidR="00F95FE4">
        <w:rPr>
          <w:rFonts w:ascii="Arial" w:eastAsia="Arial" w:hAnsi="Arial" w:cs="Arial"/>
          <w:sz w:val="22"/>
        </w:rPr>
        <w:t xml:space="preserve">, </w:t>
      </w:r>
      <w:r w:rsidR="00F95FE4" w:rsidRPr="00F95FE4">
        <w:rPr>
          <w:rFonts w:ascii="Arial" w:eastAsia="Arial" w:hAnsi="Arial" w:cs="Arial"/>
          <w:sz w:val="22"/>
        </w:rPr>
        <w:t xml:space="preserve">dessen Angebot sich an </w:t>
      </w:r>
      <w:r w:rsidR="00F95FE4" w:rsidRPr="00F95FE4">
        <w:rPr>
          <w:rFonts w:ascii="Arial" w:eastAsia="Arial" w:hAnsi="Arial" w:cs="Arial"/>
          <w:sz w:val="22"/>
        </w:rPr>
        <w:lastRenderedPageBreak/>
        <w:t xml:space="preserve">Unternehmen der privaten Wirtschaft und an den Gesundheitssektor richtet, ist im ersten Quartal 2021 um </w:t>
      </w:r>
      <w:r w:rsidR="00922300">
        <w:rPr>
          <w:rFonts w:ascii="Arial" w:eastAsia="Arial" w:hAnsi="Arial" w:cs="Arial"/>
          <w:sz w:val="22"/>
        </w:rPr>
        <w:br/>
      </w:r>
      <w:r w:rsidR="00F95FE4" w:rsidRPr="00F95FE4">
        <w:rPr>
          <w:rFonts w:ascii="Arial" w:eastAsia="Arial" w:hAnsi="Arial" w:cs="Arial"/>
          <w:sz w:val="22"/>
        </w:rPr>
        <w:t>141</w:t>
      </w:r>
      <w:r w:rsidR="00B14F16">
        <w:rPr>
          <w:rFonts w:ascii="Arial" w:eastAsia="Arial" w:hAnsi="Arial" w:cs="Arial"/>
          <w:sz w:val="22"/>
        </w:rPr>
        <w:t xml:space="preserve"> </w:t>
      </w:r>
      <w:r w:rsidR="00F95FE4" w:rsidRPr="00F95FE4">
        <w:rPr>
          <w:rFonts w:ascii="Arial" w:eastAsia="Arial" w:hAnsi="Arial" w:cs="Arial"/>
          <w:sz w:val="22"/>
        </w:rPr>
        <w:t xml:space="preserve">% oder 8,9 Mio. Euro gegenüber dem Vorjahresniveau </w:t>
      </w:r>
      <w:r w:rsidR="00922300">
        <w:rPr>
          <w:rFonts w:ascii="Arial" w:eastAsia="Arial" w:hAnsi="Arial" w:cs="Arial"/>
          <w:sz w:val="22"/>
        </w:rPr>
        <w:br/>
      </w:r>
      <w:r w:rsidR="00F95FE4" w:rsidRPr="00F95FE4">
        <w:rPr>
          <w:rFonts w:ascii="Arial" w:eastAsia="Arial" w:hAnsi="Arial" w:cs="Arial"/>
          <w:sz w:val="22"/>
        </w:rPr>
        <w:t>(6,2 Mio. Euro) auf 15,1 Mio. Euro gestiegen. Im Wesentlichen ist die Steigerung darauf zurückzuführen, dass sich das Produktgeschäft mit dem secunet Gesundheitskonnektor sehr gut entwickelt hat. Der Anteil des Geschäftsbereichs am Q1-Konzernumsatz betrug 21</w:t>
      </w:r>
      <w:r w:rsidR="00B14F16">
        <w:rPr>
          <w:rFonts w:ascii="Arial" w:eastAsia="Arial" w:hAnsi="Arial" w:cs="Arial"/>
          <w:sz w:val="22"/>
        </w:rPr>
        <w:t xml:space="preserve"> </w:t>
      </w:r>
      <w:r w:rsidR="00F95FE4" w:rsidRPr="00F95FE4">
        <w:rPr>
          <w:rFonts w:ascii="Arial" w:eastAsia="Arial" w:hAnsi="Arial" w:cs="Arial"/>
          <w:sz w:val="22"/>
        </w:rPr>
        <w:t>% (Vorjahres</w:t>
      </w:r>
      <w:r w:rsidR="00922300">
        <w:rPr>
          <w:rFonts w:ascii="Arial" w:eastAsia="Arial" w:hAnsi="Arial" w:cs="Arial"/>
          <w:sz w:val="22"/>
        </w:rPr>
        <w:t xml:space="preserve">- </w:t>
      </w:r>
      <w:proofErr w:type="spellStart"/>
      <w:r w:rsidR="00F95FE4" w:rsidRPr="00F95FE4">
        <w:rPr>
          <w:rFonts w:ascii="Arial" w:eastAsia="Arial" w:hAnsi="Arial" w:cs="Arial"/>
          <w:sz w:val="22"/>
        </w:rPr>
        <w:t>quartal</w:t>
      </w:r>
      <w:proofErr w:type="spellEnd"/>
      <w:r w:rsidR="00F95FE4" w:rsidRPr="00F95FE4">
        <w:rPr>
          <w:rFonts w:ascii="Arial" w:eastAsia="Arial" w:hAnsi="Arial" w:cs="Arial"/>
          <w:sz w:val="22"/>
        </w:rPr>
        <w:t>: 19</w:t>
      </w:r>
      <w:r w:rsidR="00B14F16">
        <w:rPr>
          <w:rFonts w:ascii="Arial" w:eastAsia="Arial" w:hAnsi="Arial" w:cs="Arial"/>
          <w:sz w:val="22"/>
        </w:rPr>
        <w:t xml:space="preserve"> </w:t>
      </w:r>
      <w:r w:rsidR="00F95FE4" w:rsidRPr="00F95FE4">
        <w:rPr>
          <w:rFonts w:ascii="Arial" w:eastAsia="Arial" w:hAnsi="Arial" w:cs="Arial"/>
          <w:sz w:val="22"/>
        </w:rPr>
        <w:t xml:space="preserve">%). </w:t>
      </w:r>
    </w:p>
    <w:p w:rsidR="00452671" w:rsidRDefault="0012049B" w:rsidP="0012049B">
      <w:pPr>
        <w:spacing w:before="120" w:line="360" w:lineRule="auto"/>
        <w:ind w:left="697"/>
        <w:jc w:val="both"/>
        <w:rPr>
          <w:rFonts w:ascii="Arial" w:eastAsia="Arial" w:hAnsi="Arial" w:cs="Arial"/>
          <w:sz w:val="22"/>
        </w:rPr>
      </w:pPr>
      <w:r w:rsidRPr="008F00B5">
        <w:rPr>
          <w:rFonts w:ascii="Arial" w:hAnsi="Arial"/>
          <w:sz w:val="22"/>
        </w:rPr>
        <w:t xml:space="preserve">Die Nachfrage </w:t>
      </w:r>
      <w:r w:rsidR="00CA18EE">
        <w:rPr>
          <w:rFonts w:ascii="Arial" w:hAnsi="Arial"/>
          <w:sz w:val="22"/>
        </w:rPr>
        <w:t>nach secunet-Produkten</w:t>
      </w:r>
      <w:r w:rsidRPr="008F00B5">
        <w:rPr>
          <w:rFonts w:ascii="Arial" w:hAnsi="Arial"/>
          <w:sz w:val="22"/>
        </w:rPr>
        <w:t xml:space="preserve"> ist </w:t>
      </w:r>
      <w:r>
        <w:rPr>
          <w:rFonts w:ascii="Arial" w:hAnsi="Arial"/>
          <w:sz w:val="22"/>
        </w:rPr>
        <w:t>in den ersten drei Monaten 2021</w:t>
      </w:r>
      <w:r w:rsidRPr="008F00B5">
        <w:rPr>
          <w:rFonts w:ascii="Arial" w:hAnsi="Arial"/>
          <w:sz w:val="22"/>
        </w:rPr>
        <w:t xml:space="preserve"> über die Erwartungen hinaus gestiegen</w:t>
      </w:r>
      <w:r>
        <w:rPr>
          <w:rFonts w:ascii="Arial" w:eastAsia="Arial" w:hAnsi="Arial" w:cs="Arial"/>
          <w:sz w:val="22"/>
        </w:rPr>
        <w:t xml:space="preserve">. </w:t>
      </w:r>
      <w:r w:rsidR="00452671" w:rsidRPr="008F00B5">
        <w:rPr>
          <w:rFonts w:ascii="Arial" w:hAnsi="Arial"/>
          <w:sz w:val="22"/>
        </w:rPr>
        <w:t xml:space="preserve">Der Auftragsbestand zum 31. März 2021 betrug daher </w:t>
      </w:r>
      <w:r w:rsidR="00452671">
        <w:rPr>
          <w:rFonts w:ascii="Arial" w:hAnsi="Arial"/>
          <w:sz w:val="22"/>
        </w:rPr>
        <w:t>176,9 Mio. Euro</w:t>
      </w:r>
      <w:r w:rsidR="00452671" w:rsidRPr="008F00B5">
        <w:rPr>
          <w:rFonts w:ascii="Arial" w:hAnsi="Arial"/>
          <w:sz w:val="22"/>
        </w:rPr>
        <w:t xml:space="preserve"> und lag deutlich höher als zum gleichen Vorjahresstichtag </w:t>
      </w:r>
      <w:r w:rsidR="00452671">
        <w:rPr>
          <w:rFonts w:ascii="Arial" w:hAnsi="Arial"/>
          <w:sz w:val="22"/>
        </w:rPr>
        <w:t>(115,2 Mio. Euro) und zum Ende des Geschäftsjahres 2020 (149,5 Mio. Euro)</w:t>
      </w:r>
      <w:r w:rsidR="00452671" w:rsidRPr="008F00B5">
        <w:rPr>
          <w:rFonts w:ascii="Arial" w:hAnsi="Arial"/>
          <w:sz w:val="22"/>
        </w:rPr>
        <w:t>.</w:t>
      </w:r>
      <w:r w:rsidR="00452671" w:rsidRPr="00E425BD">
        <w:rPr>
          <w:rFonts w:ascii="Arial" w:eastAsia="Arial" w:hAnsi="Arial" w:cs="Arial"/>
          <w:sz w:val="22"/>
        </w:rPr>
        <w:t xml:space="preserve"> </w:t>
      </w:r>
    </w:p>
    <w:p w:rsidR="001A56A1" w:rsidRDefault="005903CD" w:rsidP="0012049B">
      <w:pPr>
        <w:spacing w:before="120" w:line="360" w:lineRule="auto"/>
        <w:ind w:left="697"/>
        <w:jc w:val="both"/>
        <w:rPr>
          <w:rFonts w:ascii="Arial" w:eastAsia="Arial" w:hAnsi="Arial" w:cs="Arial"/>
          <w:sz w:val="22"/>
        </w:rPr>
      </w:pPr>
      <w:r w:rsidRPr="00E425BD">
        <w:rPr>
          <w:rFonts w:ascii="Arial" w:eastAsia="Arial" w:hAnsi="Arial" w:cs="Arial"/>
          <w:sz w:val="22"/>
        </w:rPr>
        <w:t>„</w:t>
      </w:r>
      <w:r w:rsidR="001A56A1">
        <w:rPr>
          <w:rFonts w:ascii="Arial" w:eastAsia="Arial" w:hAnsi="Arial" w:cs="Arial"/>
          <w:sz w:val="22"/>
        </w:rPr>
        <w:t>In</w:t>
      </w:r>
      <w:r w:rsidR="0012049B">
        <w:rPr>
          <w:rFonts w:ascii="Arial" w:eastAsia="Arial" w:hAnsi="Arial" w:cs="Arial"/>
          <w:sz w:val="22"/>
        </w:rPr>
        <w:t xml:space="preserve"> beiden Geschäftsbereichen haben wir deutlich bessere Ergebnisse erzielt als zu Beginn des Jahres erwartet</w:t>
      </w:r>
      <w:r w:rsidR="000D2D59">
        <w:rPr>
          <w:rFonts w:ascii="Arial" w:eastAsia="Arial" w:hAnsi="Arial" w:cs="Arial"/>
          <w:sz w:val="22"/>
        </w:rPr>
        <w:t xml:space="preserve">. Der </w:t>
      </w:r>
      <w:r w:rsidR="001A56A1">
        <w:rPr>
          <w:rFonts w:ascii="Arial" w:eastAsia="Arial" w:hAnsi="Arial" w:cs="Arial"/>
          <w:sz w:val="22"/>
        </w:rPr>
        <w:t>Auftragseingang</w:t>
      </w:r>
      <w:r w:rsidR="000D2D59">
        <w:rPr>
          <w:rFonts w:ascii="Arial" w:eastAsia="Arial" w:hAnsi="Arial" w:cs="Arial"/>
          <w:sz w:val="22"/>
        </w:rPr>
        <w:t xml:space="preserve"> übertraf unsere Erwartungen </w:t>
      </w:r>
      <w:r w:rsidR="00C12398">
        <w:rPr>
          <w:rFonts w:ascii="Arial" w:eastAsia="Arial" w:hAnsi="Arial" w:cs="Arial"/>
          <w:sz w:val="22"/>
        </w:rPr>
        <w:t>ebenfalls signifikant</w:t>
      </w:r>
      <w:r w:rsidR="0012049B">
        <w:rPr>
          <w:rFonts w:ascii="Arial" w:eastAsia="Arial" w:hAnsi="Arial" w:cs="Arial"/>
          <w:sz w:val="22"/>
        </w:rPr>
        <w:t>“</w:t>
      </w:r>
      <w:r w:rsidRPr="00E425BD">
        <w:rPr>
          <w:rFonts w:ascii="Arial" w:eastAsia="Arial" w:hAnsi="Arial" w:cs="Arial"/>
          <w:sz w:val="22"/>
        </w:rPr>
        <w:t xml:space="preserve">, so Axel Deininger, Vorstandsvorsitzender der secunet Security Networks AG. </w:t>
      </w:r>
      <w:r w:rsidRPr="00581552">
        <w:rPr>
          <w:rFonts w:ascii="Arial" w:eastAsia="Arial" w:hAnsi="Arial" w:cs="Arial"/>
          <w:sz w:val="22"/>
        </w:rPr>
        <w:t>„</w:t>
      </w:r>
      <w:r w:rsidR="00C12398">
        <w:rPr>
          <w:rFonts w:ascii="Arial" w:eastAsia="Arial" w:hAnsi="Arial" w:cs="Arial"/>
          <w:sz w:val="22"/>
        </w:rPr>
        <w:t xml:space="preserve">Auf der Basis dieser Zahlen können wir </w:t>
      </w:r>
      <w:r w:rsidR="00FA54A5">
        <w:rPr>
          <w:rFonts w:ascii="Arial" w:eastAsia="Arial" w:hAnsi="Arial" w:cs="Arial"/>
          <w:sz w:val="22"/>
        </w:rPr>
        <w:t xml:space="preserve">unsere </w:t>
      </w:r>
      <w:r w:rsidR="000D2D59">
        <w:rPr>
          <w:rFonts w:ascii="Arial" w:eastAsia="Arial" w:hAnsi="Arial" w:cs="Arial"/>
          <w:sz w:val="22"/>
        </w:rPr>
        <w:t xml:space="preserve">Jahresprognose 2021 </w:t>
      </w:r>
      <w:r w:rsidR="00922300">
        <w:rPr>
          <w:rFonts w:ascii="Arial" w:eastAsia="Arial" w:hAnsi="Arial" w:cs="Arial"/>
          <w:sz w:val="22"/>
        </w:rPr>
        <w:t xml:space="preserve">entsprechend </w:t>
      </w:r>
      <w:r w:rsidR="00C12398">
        <w:rPr>
          <w:rFonts w:ascii="Arial" w:eastAsia="Arial" w:hAnsi="Arial" w:cs="Arial"/>
          <w:sz w:val="22"/>
        </w:rPr>
        <w:t>anheben</w:t>
      </w:r>
      <w:r w:rsidR="001A56A1">
        <w:rPr>
          <w:rFonts w:ascii="Arial" w:eastAsia="Arial" w:hAnsi="Arial" w:cs="Arial"/>
          <w:sz w:val="22"/>
        </w:rPr>
        <w:t xml:space="preserve">. </w:t>
      </w:r>
      <w:r w:rsidR="00C12398">
        <w:rPr>
          <w:rFonts w:ascii="Arial" w:eastAsia="Arial" w:hAnsi="Arial" w:cs="Arial"/>
          <w:sz w:val="22"/>
        </w:rPr>
        <w:t xml:space="preserve">Entscheidend </w:t>
      </w:r>
      <w:r w:rsidR="006A66D7">
        <w:rPr>
          <w:rFonts w:ascii="Arial" w:eastAsia="Arial" w:hAnsi="Arial" w:cs="Arial"/>
          <w:sz w:val="22"/>
        </w:rPr>
        <w:t>ist</w:t>
      </w:r>
      <w:r w:rsidR="00FA54A5">
        <w:rPr>
          <w:rFonts w:ascii="Arial" w:eastAsia="Arial" w:hAnsi="Arial" w:cs="Arial"/>
          <w:sz w:val="22"/>
        </w:rPr>
        <w:t>, dass die in der gesamten IT-Branche angespannte Liefersituation weiterhin stabil bleibt</w:t>
      </w:r>
      <w:r w:rsidR="001A56A1">
        <w:rPr>
          <w:rFonts w:ascii="Arial" w:eastAsia="Arial" w:hAnsi="Arial" w:cs="Arial"/>
          <w:sz w:val="22"/>
        </w:rPr>
        <w:t>.</w:t>
      </w:r>
      <w:r w:rsidR="000D2D59">
        <w:rPr>
          <w:rFonts w:ascii="Arial" w:eastAsia="Arial" w:hAnsi="Arial" w:cs="Arial"/>
          <w:sz w:val="22"/>
        </w:rPr>
        <w:t>“</w:t>
      </w:r>
    </w:p>
    <w:p w:rsidR="00B7474B" w:rsidRPr="0012049B" w:rsidRDefault="00B7474B" w:rsidP="00B7474B">
      <w:pPr>
        <w:spacing w:before="120" w:line="360" w:lineRule="auto"/>
        <w:ind w:left="697"/>
        <w:jc w:val="both"/>
        <w:rPr>
          <w:rFonts w:ascii="Arial" w:eastAsia="Arial" w:hAnsi="Arial" w:cs="Arial"/>
          <w:sz w:val="22"/>
        </w:rPr>
      </w:pPr>
      <w:bookmarkStart w:id="1" w:name="_Hlk69814876"/>
      <w:r w:rsidRPr="00F95FE4">
        <w:rPr>
          <w:rFonts w:ascii="Arial" w:eastAsia="Arial" w:hAnsi="Arial" w:cs="Arial"/>
          <w:sz w:val="22"/>
        </w:rPr>
        <w:t xml:space="preserve">Vor </w:t>
      </w:r>
      <w:r>
        <w:rPr>
          <w:rFonts w:ascii="Arial" w:eastAsia="Arial" w:hAnsi="Arial" w:cs="Arial"/>
          <w:sz w:val="22"/>
        </w:rPr>
        <w:t xml:space="preserve">dem </w:t>
      </w:r>
      <w:r w:rsidRPr="00F95FE4">
        <w:rPr>
          <w:rFonts w:ascii="Arial" w:eastAsia="Arial" w:hAnsi="Arial" w:cs="Arial"/>
          <w:sz w:val="22"/>
        </w:rPr>
        <w:t xml:space="preserve">Hintergrund </w:t>
      </w:r>
      <w:r>
        <w:rPr>
          <w:rFonts w:ascii="Arial" w:eastAsia="Arial" w:hAnsi="Arial" w:cs="Arial"/>
          <w:sz w:val="22"/>
        </w:rPr>
        <w:t xml:space="preserve">des hohen Auftragsbestandes </w:t>
      </w:r>
      <w:r w:rsidRPr="00F95FE4">
        <w:rPr>
          <w:rFonts w:ascii="Arial" w:eastAsia="Arial" w:hAnsi="Arial" w:cs="Arial"/>
          <w:sz w:val="22"/>
        </w:rPr>
        <w:t>und unter Berücksichtigung der Geschäftsentwicklung</w:t>
      </w:r>
      <w:r w:rsidRPr="008F00B5">
        <w:rPr>
          <w:rFonts w:ascii="Arial" w:hAnsi="Arial"/>
          <w:sz w:val="22"/>
        </w:rPr>
        <w:t xml:space="preserve"> in den ersten drei Monaten </w:t>
      </w:r>
      <w:r>
        <w:rPr>
          <w:rFonts w:ascii="Arial" w:hAnsi="Arial"/>
          <w:sz w:val="22"/>
        </w:rPr>
        <w:t xml:space="preserve">hat der </w:t>
      </w:r>
      <w:r w:rsidRPr="008F00B5">
        <w:rPr>
          <w:rFonts w:ascii="Arial" w:hAnsi="Arial"/>
          <w:sz w:val="22"/>
        </w:rPr>
        <w:t xml:space="preserve">Vorstand der secunet AG </w:t>
      </w:r>
      <w:r>
        <w:rPr>
          <w:rFonts w:ascii="Arial" w:hAnsi="Arial"/>
          <w:sz w:val="22"/>
        </w:rPr>
        <w:t xml:space="preserve">per Ad-hoc-Mitteilung vom 20. April 2021 </w:t>
      </w:r>
      <w:r w:rsidRPr="008F00B5">
        <w:rPr>
          <w:rFonts w:ascii="Arial" w:hAnsi="Arial"/>
          <w:sz w:val="22"/>
        </w:rPr>
        <w:t>seine Gesamtjahresprognose</w:t>
      </w:r>
      <w:r>
        <w:rPr>
          <w:rFonts w:ascii="Arial" w:hAnsi="Arial"/>
          <w:sz w:val="22"/>
        </w:rPr>
        <w:t xml:space="preserve"> angehoben.</w:t>
      </w:r>
      <w:r w:rsidRPr="008F00B5">
        <w:rPr>
          <w:rFonts w:ascii="Arial" w:hAnsi="Arial"/>
          <w:sz w:val="22"/>
        </w:rPr>
        <w:t xml:space="preserve"> </w:t>
      </w:r>
      <w:r>
        <w:rPr>
          <w:rFonts w:ascii="Arial" w:hAnsi="Arial"/>
          <w:sz w:val="22"/>
        </w:rPr>
        <w:t>E</w:t>
      </w:r>
      <w:r w:rsidRPr="008F00B5">
        <w:rPr>
          <w:rFonts w:ascii="Arial" w:hAnsi="Arial"/>
          <w:sz w:val="22"/>
        </w:rPr>
        <w:t>rwartet werden</w:t>
      </w:r>
      <w:r>
        <w:rPr>
          <w:rFonts w:ascii="Arial" w:hAnsi="Arial"/>
          <w:sz w:val="22"/>
        </w:rPr>
        <w:t xml:space="preserve"> seitdem</w:t>
      </w:r>
      <w:r w:rsidRPr="008F00B5">
        <w:rPr>
          <w:rFonts w:ascii="Arial" w:hAnsi="Arial"/>
          <w:sz w:val="22"/>
        </w:rPr>
        <w:t xml:space="preserve"> Umsatzerlöse um </w:t>
      </w:r>
      <w:r>
        <w:rPr>
          <w:rFonts w:ascii="Arial" w:hAnsi="Arial"/>
          <w:sz w:val="22"/>
        </w:rPr>
        <w:t>330</w:t>
      </w:r>
      <w:r w:rsidRPr="008F00B5">
        <w:rPr>
          <w:rFonts w:ascii="Arial" w:hAnsi="Arial"/>
          <w:sz w:val="22"/>
        </w:rPr>
        <w:t xml:space="preserve"> Mio. Euro und ein EBIT um </w:t>
      </w:r>
      <w:r>
        <w:rPr>
          <w:rFonts w:ascii="Arial" w:hAnsi="Arial"/>
          <w:sz w:val="22"/>
        </w:rPr>
        <w:t>59</w:t>
      </w:r>
      <w:r w:rsidRPr="008F00B5">
        <w:rPr>
          <w:rFonts w:ascii="Arial" w:hAnsi="Arial"/>
          <w:sz w:val="22"/>
        </w:rPr>
        <w:t xml:space="preserve"> Mio. Euro (Geschäftsjahr 2020: Umsatz 285,6 Mio. Euro, EBIT 51,6 Mio. Euro). Die Erreichung dieser Prognose hängt wesentlich </w:t>
      </w:r>
      <w:r>
        <w:rPr>
          <w:rFonts w:ascii="Arial" w:hAnsi="Arial"/>
          <w:sz w:val="22"/>
        </w:rPr>
        <w:t xml:space="preserve">ab </w:t>
      </w:r>
      <w:r w:rsidRPr="008F00B5">
        <w:rPr>
          <w:rFonts w:ascii="Arial" w:hAnsi="Arial"/>
          <w:sz w:val="22"/>
        </w:rPr>
        <w:t xml:space="preserve">von einer weiterhin stabilen Liefersituation bei den Vorprodukten, insbesondere von der </w:t>
      </w:r>
      <w:r>
        <w:rPr>
          <w:rFonts w:ascii="Arial" w:hAnsi="Arial"/>
          <w:sz w:val="22"/>
        </w:rPr>
        <w:t>V</w:t>
      </w:r>
      <w:r w:rsidRPr="008F00B5">
        <w:rPr>
          <w:rFonts w:ascii="Arial" w:hAnsi="Arial"/>
          <w:sz w:val="22"/>
        </w:rPr>
        <w:t xml:space="preserve">erfügbarkeit von Halbleitern. Die </w:t>
      </w:r>
      <w:r w:rsidRPr="0012049B">
        <w:rPr>
          <w:rFonts w:ascii="Arial" w:eastAsia="Arial" w:hAnsi="Arial" w:cs="Arial"/>
          <w:sz w:val="22"/>
        </w:rPr>
        <w:t>ursprüngliche Prognose (veröffentlicht am 3. November 2020) sah Umsatzerlöse um 260 Mio. Euro und ein EBIT um 38 Mio. Euro vor.</w:t>
      </w:r>
    </w:p>
    <w:bookmarkEnd w:id="1"/>
    <w:p w:rsidR="00977698" w:rsidRDefault="00CE6C3E" w:rsidP="00FA54A5">
      <w:pPr>
        <w:spacing w:before="120" w:line="360" w:lineRule="auto"/>
        <w:ind w:left="697"/>
        <w:jc w:val="both"/>
        <w:rPr>
          <w:rFonts w:ascii="Arial" w:eastAsia="Arial" w:hAnsi="Arial" w:cs="Arial"/>
          <w:i/>
          <w:sz w:val="22"/>
        </w:rPr>
      </w:pPr>
      <w:r>
        <w:rPr>
          <w:rFonts w:ascii="Arial" w:eastAsia="Arial" w:hAnsi="Arial" w:cs="Arial"/>
          <w:sz w:val="22"/>
        </w:rPr>
        <w:lastRenderedPageBreak/>
        <w:t>Die</w:t>
      </w:r>
      <w:bookmarkStart w:id="2" w:name="_GoBack"/>
      <w:bookmarkEnd w:id="2"/>
      <w:r w:rsidR="005903CD" w:rsidRPr="00E425BD">
        <w:rPr>
          <w:rFonts w:ascii="Arial" w:eastAsia="Arial" w:hAnsi="Arial" w:cs="Arial"/>
          <w:sz w:val="22"/>
        </w:rPr>
        <w:t xml:space="preserve"> </w:t>
      </w:r>
      <w:r w:rsidR="00F95FE4">
        <w:rPr>
          <w:rFonts w:ascii="Arial" w:eastAsia="Arial" w:hAnsi="Arial" w:cs="Arial"/>
          <w:sz w:val="22"/>
        </w:rPr>
        <w:t>Konzernquartalsmitteilung zum 31. März 2021</w:t>
      </w:r>
      <w:r w:rsidR="005903CD" w:rsidRPr="00E425BD">
        <w:rPr>
          <w:rFonts w:ascii="Arial" w:eastAsia="Arial" w:hAnsi="Arial" w:cs="Arial"/>
          <w:sz w:val="22"/>
        </w:rPr>
        <w:t xml:space="preserve"> steht unter</w:t>
      </w:r>
      <w:r w:rsidR="005903CD" w:rsidRPr="00E425BD">
        <w:rPr>
          <w:rFonts w:ascii="Arial" w:eastAsia="Arial" w:hAnsi="Arial" w:cs="Arial"/>
          <w:i/>
          <w:sz w:val="22"/>
        </w:rPr>
        <w:t xml:space="preserve"> </w:t>
      </w:r>
      <w:r w:rsidR="005903CD" w:rsidRPr="00E425BD">
        <w:rPr>
          <w:rFonts w:ascii="Arial" w:eastAsia="Arial" w:hAnsi="Arial" w:cs="Arial"/>
          <w:i/>
          <w:color w:val="0000FF"/>
          <w:sz w:val="22"/>
        </w:rPr>
        <w:t xml:space="preserve">www.secunet.com </w:t>
      </w:r>
      <w:r w:rsidR="005903CD" w:rsidRPr="00E425BD">
        <w:rPr>
          <w:rFonts w:ascii="Arial" w:eastAsia="Arial" w:hAnsi="Arial" w:cs="Arial"/>
          <w:sz w:val="22"/>
        </w:rPr>
        <w:t xml:space="preserve">als Download für Sie bereit. </w:t>
      </w:r>
      <w:r w:rsidR="005903CD" w:rsidRPr="002A5912">
        <w:rPr>
          <w:rFonts w:ascii="Arial" w:eastAsia="Arial" w:hAnsi="Arial" w:cs="Arial"/>
          <w:sz w:val="22"/>
        </w:rPr>
        <w:t xml:space="preserve">Nächster Finanztermin: </w:t>
      </w:r>
      <w:r w:rsidR="00FA54A5">
        <w:rPr>
          <w:rFonts w:ascii="Arial" w:eastAsia="Arial" w:hAnsi="Arial" w:cs="Arial"/>
          <w:sz w:val="22"/>
        </w:rPr>
        <w:t>12</w:t>
      </w:r>
      <w:r w:rsidR="005903CD" w:rsidRPr="002A5912">
        <w:rPr>
          <w:rFonts w:ascii="Arial" w:eastAsia="Arial" w:hAnsi="Arial" w:cs="Arial"/>
          <w:sz w:val="22"/>
        </w:rPr>
        <w:t xml:space="preserve">. </w:t>
      </w:r>
      <w:r w:rsidR="00FA54A5">
        <w:rPr>
          <w:rFonts w:ascii="Arial" w:eastAsia="Arial" w:hAnsi="Arial" w:cs="Arial"/>
          <w:sz w:val="22"/>
        </w:rPr>
        <w:t xml:space="preserve">Mai </w:t>
      </w:r>
      <w:r w:rsidR="005903CD" w:rsidRPr="002A5912">
        <w:rPr>
          <w:rFonts w:ascii="Arial" w:eastAsia="Arial" w:hAnsi="Arial" w:cs="Arial"/>
          <w:sz w:val="22"/>
        </w:rPr>
        <w:t>2021,</w:t>
      </w:r>
      <w:r w:rsidR="00FA54A5">
        <w:rPr>
          <w:rFonts w:ascii="Arial" w:eastAsia="Arial" w:hAnsi="Arial" w:cs="Arial"/>
          <w:sz w:val="22"/>
        </w:rPr>
        <w:t xml:space="preserve"> virtuelle Hauptversammlung.</w:t>
      </w:r>
    </w:p>
    <w:p w:rsidR="00FA54A5" w:rsidRPr="00FA54A5" w:rsidRDefault="00FA54A5" w:rsidP="00FA54A5">
      <w:pPr>
        <w:spacing w:before="120" w:line="360" w:lineRule="auto"/>
        <w:ind w:left="697"/>
        <w:jc w:val="both"/>
        <w:rPr>
          <w:rFonts w:ascii="Arial" w:eastAsia="Arial" w:hAnsi="Arial" w:cs="Arial"/>
          <w:i/>
          <w:sz w:val="22"/>
        </w:rPr>
      </w:pPr>
    </w:p>
    <w:p w:rsidR="005903CD" w:rsidRPr="00E425BD" w:rsidRDefault="005903CD" w:rsidP="005903CD">
      <w:pPr>
        <w:spacing w:line="276" w:lineRule="auto"/>
        <w:ind w:firstLine="697"/>
        <w:jc w:val="both"/>
      </w:pPr>
      <w:r w:rsidRPr="00E425BD">
        <w:rPr>
          <w:rFonts w:ascii="Arial" w:eastAsia="Arial" w:hAnsi="Arial" w:cs="Arial"/>
          <w:b/>
          <w:sz w:val="16"/>
        </w:rPr>
        <w:t>Kontakt</w:t>
      </w:r>
    </w:p>
    <w:p w:rsidR="005903CD" w:rsidRPr="00E425BD" w:rsidRDefault="005903CD" w:rsidP="005903CD">
      <w:pPr>
        <w:spacing w:line="276" w:lineRule="auto"/>
        <w:ind w:firstLine="697"/>
        <w:jc w:val="both"/>
      </w:pPr>
      <w:r w:rsidRPr="00E425BD">
        <w:rPr>
          <w:rFonts w:ascii="Arial" w:eastAsia="Arial" w:hAnsi="Arial" w:cs="Arial"/>
          <w:sz w:val="16"/>
        </w:rPr>
        <w:t>Dr. Kay Rathke</w:t>
      </w:r>
    </w:p>
    <w:p w:rsidR="005903CD" w:rsidRPr="00E425BD" w:rsidRDefault="005903CD" w:rsidP="005903CD">
      <w:pPr>
        <w:spacing w:line="276" w:lineRule="auto"/>
        <w:ind w:firstLine="697"/>
        <w:jc w:val="both"/>
      </w:pPr>
      <w:r w:rsidRPr="00E425BD">
        <w:rPr>
          <w:rFonts w:ascii="Arial" w:eastAsia="Arial" w:hAnsi="Arial" w:cs="Arial"/>
          <w:sz w:val="16"/>
        </w:rPr>
        <w:t>Leiter Investor Relations</w:t>
      </w:r>
    </w:p>
    <w:p w:rsidR="005903CD" w:rsidRPr="00E425BD" w:rsidRDefault="005903CD" w:rsidP="005903CD">
      <w:pPr>
        <w:spacing w:line="276" w:lineRule="auto"/>
        <w:rPr>
          <w:rFonts w:ascii="Arial" w:eastAsia="Arial" w:hAnsi="Arial" w:cs="Arial"/>
        </w:rPr>
      </w:pPr>
    </w:p>
    <w:p w:rsidR="005903CD" w:rsidRPr="00E425BD" w:rsidRDefault="005903CD" w:rsidP="005903CD">
      <w:pPr>
        <w:spacing w:line="276" w:lineRule="auto"/>
        <w:ind w:firstLine="697"/>
        <w:jc w:val="both"/>
      </w:pPr>
      <w:r w:rsidRPr="00E425BD">
        <w:rPr>
          <w:rFonts w:ascii="Arial" w:eastAsia="Arial" w:hAnsi="Arial" w:cs="Arial"/>
          <w:sz w:val="16"/>
        </w:rPr>
        <w:t>Patrick Franitza</w:t>
      </w:r>
    </w:p>
    <w:p w:rsidR="005903CD" w:rsidRPr="00E425BD" w:rsidRDefault="005903CD" w:rsidP="005903CD">
      <w:pPr>
        <w:spacing w:line="276" w:lineRule="auto"/>
        <w:ind w:firstLine="697"/>
        <w:jc w:val="both"/>
      </w:pPr>
      <w:r w:rsidRPr="00E425BD">
        <w:rPr>
          <w:rFonts w:ascii="Arial" w:eastAsia="Arial" w:hAnsi="Arial" w:cs="Arial"/>
          <w:sz w:val="16"/>
        </w:rPr>
        <w:t>Pressesprecher</w:t>
      </w:r>
    </w:p>
    <w:p w:rsidR="005903CD" w:rsidRPr="00E425BD" w:rsidRDefault="005903CD" w:rsidP="005903CD">
      <w:pPr>
        <w:spacing w:line="276" w:lineRule="auto"/>
        <w:rPr>
          <w:rFonts w:ascii="Arial" w:eastAsia="Arial" w:hAnsi="Arial" w:cs="Arial"/>
        </w:rPr>
      </w:pPr>
    </w:p>
    <w:p w:rsidR="005903CD" w:rsidRPr="00E425BD" w:rsidRDefault="005903CD" w:rsidP="005903CD">
      <w:pPr>
        <w:spacing w:line="276" w:lineRule="auto"/>
        <w:ind w:firstLine="697"/>
        <w:jc w:val="both"/>
      </w:pPr>
      <w:r w:rsidRPr="00E425BD">
        <w:rPr>
          <w:rFonts w:ascii="Arial" w:eastAsia="Arial" w:hAnsi="Arial" w:cs="Arial"/>
          <w:sz w:val="16"/>
        </w:rPr>
        <w:t>secunet Security Networks AG</w:t>
      </w:r>
    </w:p>
    <w:p w:rsidR="005903CD" w:rsidRPr="00E425BD" w:rsidRDefault="005903CD" w:rsidP="005903CD">
      <w:pPr>
        <w:spacing w:line="276" w:lineRule="auto"/>
        <w:ind w:firstLine="697"/>
        <w:jc w:val="both"/>
      </w:pPr>
      <w:r w:rsidRPr="00E425BD">
        <w:rPr>
          <w:rFonts w:ascii="Arial" w:eastAsia="Arial" w:hAnsi="Arial" w:cs="Arial"/>
          <w:sz w:val="16"/>
        </w:rPr>
        <w:t>Kurfürstenstraße 58</w:t>
      </w:r>
    </w:p>
    <w:p w:rsidR="005903CD" w:rsidRPr="00E425BD" w:rsidRDefault="005903CD" w:rsidP="005903CD">
      <w:pPr>
        <w:spacing w:line="276" w:lineRule="auto"/>
        <w:ind w:firstLine="697"/>
        <w:jc w:val="both"/>
      </w:pPr>
      <w:r w:rsidRPr="00E425BD">
        <w:rPr>
          <w:rFonts w:ascii="Arial" w:eastAsia="Arial" w:hAnsi="Arial" w:cs="Arial"/>
          <w:sz w:val="16"/>
        </w:rPr>
        <w:t>45138 Essen/Germany</w:t>
      </w:r>
    </w:p>
    <w:p w:rsidR="005903CD" w:rsidRPr="00E425BD" w:rsidRDefault="005903CD" w:rsidP="005903CD">
      <w:pPr>
        <w:spacing w:line="276" w:lineRule="auto"/>
        <w:ind w:firstLine="697"/>
        <w:jc w:val="both"/>
      </w:pPr>
      <w:r w:rsidRPr="00E425BD">
        <w:rPr>
          <w:rFonts w:ascii="Arial" w:eastAsia="Arial" w:hAnsi="Arial" w:cs="Arial"/>
          <w:sz w:val="16"/>
        </w:rPr>
        <w:t>Tel.: +49 201 5454-1234</w:t>
      </w:r>
    </w:p>
    <w:p w:rsidR="005903CD" w:rsidRPr="00E425BD" w:rsidRDefault="005903CD" w:rsidP="005903CD">
      <w:pPr>
        <w:spacing w:line="276" w:lineRule="auto"/>
        <w:ind w:firstLine="697"/>
        <w:jc w:val="both"/>
      </w:pPr>
      <w:r w:rsidRPr="00E425BD">
        <w:rPr>
          <w:rFonts w:ascii="Arial" w:eastAsia="Arial" w:hAnsi="Arial" w:cs="Arial"/>
          <w:sz w:val="16"/>
        </w:rPr>
        <w:t>Fax: +49 201 5454-1235</w:t>
      </w:r>
    </w:p>
    <w:p w:rsidR="005903CD" w:rsidRPr="00E425BD" w:rsidRDefault="005903CD" w:rsidP="005903CD">
      <w:pPr>
        <w:spacing w:line="276" w:lineRule="auto"/>
        <w:ind w:firstLine="697"/>
        <w:jc w:val="both"/>
      </w:pPr>
      <w:r w:rsidRPr="00E425BD">
        <w:rPr>
          <w:rFonts w:ascii="Arial" w:eastAsia="Arial" w:hAnsi="Arial" w:cs="Arial"/>
          <w:sz w:val="16"/>
        </w:rPr>
        <w:t xml:space="preserve">E-Mail: </w:t>
      </w:r>
      <w:r w:rsidRPr="00E425BD">
        <w:rPr>
          <w:rFonts w:ascii="Arial" w:eastAsia="Arial" w:hAnsi="Arial" w:cs="Arial"/>
          <w:color w:val="0000FF"/>
          <w:sz w:val="16"/>
        </w:rPr>
        <w:t>presse@secunet.com</w:t>
      </w:r>
    </w:p>
    <w:p w:rsidR="005903CD" w:rsidRPr="00E425BD" w:rsidRDefault="005903CD" w:rsidP="005903CD">
      <w:pPr>
        <w:spacing w:line="276" w:lineRule="auto"/>
        <w:ind w:firstLine="697"/>
        <w:jc w:val="both"/>
      </w:pPr>
      <w:r w:rsidRPr="00E425BD">
        <w:rPr>
          <w:rFonts w:ascii="Arial" w:eastAsia="Arial" w:hAnsi="Arial" w:cs="Arial"/>
          <w:color w:val="0000FF"/>
          <w:sz w:val="16"/>
        </w:rPr>
        <w:t>http://www.secunet.com</w:t>
      </w:r>
    </w:p>
    <w:p w:rsidR="00997188" w:rsidRDefault="00997188" w:rsidP="005903CD">
      <w:pPr>
        <w:pStyle w:val="Kopfzeile"/>
        <w:ind w:left="709"/>
        <w:jc w:val="both"/>
        <w:outlineLvl w:val="0"/>
        <w:rPr>
          <w:rFonts w:ascii="Arial" w:hAnsi="Arial"/>
          <w:sz w:val="16"/>
        </w:rPr>
      </w:pPr>
    </w:p>
    <w:p w:rsidR="00A164CA" w:rsidRDefault="00A164CA" w:rsidP="00DA5758">
      <w:pPr>
        <w:pStyle w:val="Kopfzeile"/>
        <w:tabs>
          <w:tab w:val="clear" w:pos="4536"/>
          <w:tab w:val="clear" w:pos="9072"/>
        </w:tabs>
        <w:ind w:left="709" w:right="-2"/>
        <w:jc w:val="both"/>
        <w:rPr>
          <w:rFonts w:ascii="Arial" w:hAnsi="Arial"/>
          <w:b/>
          <w:sz w:val="16"/>
        </w:rPr>
      </w:pPr>
    </w:p>
    <w:p w:rsidR="00F84869" w:rsidRDefault="00F84869" w:rsidP="005903CD">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rsidR="00F84869" w:rsidRPr="002935D4" w:rsidRDefault="00F84869" w:rsidP="00F84869">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00F21A51">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rsidR="00F84869" w:rsidRDefault="00F84869" w:rsidP="00F84869">
      <w:pPr>
        <w:ind w:left="709" w:hanging="12"/>
        <w:jc w:val="both"/>
        <w:rPr>
          <w:rFonts w:ascii="Arial" w:hAnsi="Arial" w:cs="Arial"/>
          <w:sz w:val="16"/>
          <w:szCs w:val="16"/>
        </w:rPr>
      </w:pPr>
    </w:p>
    <w:p w:rsidR="00CA75DB" w:rsidRDefault="00F84869" w:rsidP="00F84869">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B94BF9"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w:t>
      </w:r>
      <w:r w:rsidR="00CA75DB">
        <w:rPr>
          <w:rFonts w:ascii="Arial" w:hAnsi="Arial" w:cs="Arial"/>
          <w:sz w:val="16"/>
          <w:szCs w:val="16"/>
        </w:rPr>
        <w:t xml:space="preserve"> </w:t>
      </w:r>
      <w:r w:rsidR="00CA75DB" w:rsidRPr="00CA75DB">
        <w:rPr>
          <w:rFonts w:ascii="Arial" w:hAnsi="Arial" w:cs="Arial"/>
          <w:sz w:val="16"/>
          <w:szCs w:val="16"/>
        </w:rPr>
        <w:t xml:space="preserve">2020 einen Umsatz von 285,6 Mio. </w:t>
      </w:r>
      <w:r w:rsidR="005903CD">
        <w:rPr>
          <w:rFonts w:ascii="Arial" w:hAnsi="Arial" w:cs="Arial"/>
          <w:sz w:val="16"/>
          <w:szCs w:val="16"/>
        </w:rPr>
        <w:t>Euro.</w:t>
      </w:r>
    </w:p>
    <w:p w:rsidR="00F84869" w:rsidRDefault="00F84869" w:rsidP="00F84869">
      <w:pPr>
        <w:ind w:left="709" w:hanging="12"/>
        <w:jc w:val="both"/>
        <w:rPr>
          <w:rFonts w:ascii="Arial" w:hAnsi="Arial" w:cs="Arial"/>
          <w:sz w:val="16"/>
          <w:szCs w:val="16"/>
        </w:rPr>
      </w:pPr>
    </w:p>
    <w:p w:rsidR="00F84869" w:rsidRDefault="00F84869" w:rsidP="00F84869">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rsidR="00F84869" w:rsidRDefault="00F84869" w:rsidP="00F84869">
      <w:pPr>
        <w:pStyle w:val="Kopfzeile"/>
        <w:tabs>
          <w:tab w:val="clear" w:pos="4536"/>
          <w:tab w:val="clear" w:pos="9072"/>
        </w:tabs>
        <w:ind w:left="709" w:right="-2"/>
        <w:jc w:val="both"/>
        <w:rPr>
          <w:rFonts w:ascii="Arial" w:hAnsi="Arial"/>
          <w:sz w:val="16"/>
        </w:rPr>
      </w:pPr>
    </w:p>
    <w:p w:rsidR="00F84869" w:rsidRDefault="00B94BF9" w:rsidP="00F84869">
      <w:pPr>
        <w:ind w:left="697"/>
        <w:jc w:val="both"/>
        <w:rPr>
          <w:rFonts w:ascii="Arial" w:hAnsi="Arial"/>
          <w:i/>
          <w:sz w:val="16"/>
        </w:rPr>
      </w:pPr>
      <w:r>
        <w:rPr>
          <w:rFonts w:ascii="Arial" w:hAnsi="Arial"/>
          <w:i/>
          <w:sz w:val="16"/>
        </w:rPr>
        <w:t>W</w:t>
      </w:r>
      <w:r w:rsidR="00F84869">
        <w:rPr>
          <w:rFonts w:ascii="Arial" w:hAnsi="Arial"/>
          <w:i/>
          <w:sz w:val="16"/>
        </w:rPr>
        <w:t xml:space="preserve">eitere Informationen finden Sie unter </w:t>
      </w:r>
      <w:hyperlink r:id="rId7" w:history="1">
        <w:r w:rsidR="00F84869">
          <w:rPr>
            <w:rStyle w:val="Hyperlink"/>
            <w:rFonts w:ascii="Arial" w:hAnsi="Arial"/>
            <w:i/>
            <w:sz w:val="16"/>
          </w:rPr>
          <w:t>www.secunet.com</w:t>
        </w:r>
      </w:hyperlink>
      <w:r w:rsidR="00F84869">
        <w:rPr>
          <w:rFonts w:ascii="Arial" w:hAnsi="Arial"/>
          <w:i/>
          <w:sz w:val="16"/>
        </w:rPr>
        <w:t>.</w:t>
      </w:r>
    </w:p>
    <w:p w:rsidR="00DA5758" w:rsidRDefault="00DA5758" w:rsidP="001075C5">
      <w:pPr>
        <w:ind w:left="708"/>
        <w:rPr>
          <w:rFonts w:ascii="Arial" w:hAnsi="Arial" w:cs="Arial"/>
          <w:b/>
          <w:sz w:val="16"/>
          <w:szCs w:val="16"/>
        </w:rPr>
      </w:pPr>
    </w:p>
    <w:p w:rsidR="005903CD" w:rsidRDefault="005903CD" w:rsidP="005903CD">
      <w:pPr>
        <w:spacing w:line="276" w:lineRule="auto"/>
        <w:rPr>
          <w:rFonts w:ascii="Arial" w:eastAsia="Arial" w:hAnsi="Arial" w:cs="Arial"/>
          <w:b/>
          <w:i/>
          <w:sz w:val="16"/>
        </w:rPr>
      </w:pPr>
    </w:p>
    <w:p w:rsidR="005903CD" w:rsidRPr="00E425BD" w:rsidRDefault="005903CD" w:rsidP="005903CD">
      <w:pPr>
        <w:spacing w:line="276" w:lineRule="auto"/>
        <w:ind w:firstLine="697"/>
      </w:pPr>
      <w:r w:rsidRPr="00E425BD">
        <w:rPr>
          <w:rFonts w:ascii="Arial" w:eastAsia="Arial" w:hAnsi="Arial" w:cs="Arial"/>
          <w:b/>
          <w:i/>
          <w:sz w:val="16"/>
        </w:rPr>
        <w:t>Disclaimer</w:t>
      </w:r>
    </w:p>
    <w:p w:rsidR="005903CD" w:rsidRPr="00E425BD" w:rsidRDefault="005903CD" w:rsidP="005903CD">
      <w:pPr>
        <w:spacing w:line="276" w:lineRule="auto"/>
        <w:ind w:left="697"/>
        <w:jc w:val="both"/>
      </w:pPr>
      <w:r w:rsidRPr="00E425BD">
        <w:rPr>
          <w:rFonts w:ascii="Arial" w:eastAsia="Arial" w:hAnsi="Arial" w:cs="Arial"/>
          <w:i/>
          <w:sz w:val="16"/>
        </w:rPr>
        <w:t>Diese Presseinformation enthält vorausschauende Aussagen. Vorausschauende Aussagen sind Aussagen, die nicht Tatsachen der Vergangenheit beschreiben; sie umfassen auch Aussagen über unsere Annahmen und Erwartungen. Jede Aussage in dieser Presseinformation,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rsidR="001075C5" w:rsidRDefault="001075C5" w:rsidP="005903CD">
      <w:pPr>
        <w:rPr>
          <w:rFonts w:ascii="Arial" w:hAnsi="Arial" w:cs="Arial"/>
          <w:b/>
          <w:sz w:val="16"/>
          <w:szCs w:val="16"/>
        </w:rPr>
      </w:pPr>
    </w:p>
    <w:sectPr w:rsidR="001075C5">
      <w:headerReference w:type="default" r:id="rId8"/>
      <w:footerReference w:type="even" r:id="rId9"/>
      <w:footerReference w:type="default" r:id="rId10"/>
      <w:headerReference w:type="first" r:id="rId11"/>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E4C" w:rsidRDefault="003E5E4C">
      <w:r>
        <w:separator/>
      </w:r>
    </w:p>
  </w:endnote>
  <w:endnote w:type="continuationSeparator" w:id="0">
    <w:p w:rsidR="003E5E4C" w:rsidRDefault="003E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E4C" w:rsidRDefault="003E5E4C">
      <w:r>
        <w:separator/>
      </w:r>
    </w:p>
  </w:footnote>
  <w:footnote w:type="continuationSeparator" w:id="0">
    <w:p w:rsidR="003E5E4C" w:rsidRDefault="003E5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4F53"/>
    <w:rsid w:val="0003544C"/>
    <w:rsid w:val="00036D1C"/>
    <w:rsid w:val="00046C8B"/>
    <w:rsid w:val="0006220C"/>
    <w:rsid w:val="00070E91"/>
    <w:rsid w:val="000A4DA4"/>
    <w:rsid w:val="000D0B22"/>
    <w:rsid w:val="000D2D59"/>
    <w:rsid w:val="001075C5"/>
    <w:rsid w:val="0012049B"/>
    <w:rsid w:val="001206D1"/>
    <w:rsid w:val="001249CD"/>
    <w:rsid w:val="00130C10"/>
    <w:rsid w:val="0014673C"/>
    <w:rsid w:val="0015116B"/>
    <w:rsid w:val="00193E2D"/>
    <w:rsid w:val="001A56A1"/>
    <w:rsid w:val="001A6039"/>
    <w:rsid w:val="001C42A0"/>
    <w:rsid w:val="001F0C6F"/>
    <w:rsid w:val="001F70FA"/>
    <w:rsid w:val="00227CF5"/>
    <w:rsid w:val="002306DE"/>
    <w:rsid w:val="00233340"/>
    <w:rsid w:val="00243467"/>
    <w:rsid w:val="002548A9"/>
    <w:rsid w:val="00260C83"/>
    <w:rsid w:val="0026186F"/>
    <w:rsid w:val="002700BA"/>
    <w:rsid w:val="00270286"/>
    <w:rsid w:val="002845E8"/>
    <w:rsid w:val="002976D1"/>
    <w:rsid w:val="002A39FF"/>
    <w:rsid w:val="002A6536"/>
    <w:rsid w:val="002B544D"/>
    <w:rsid w:val="002B6ED4"/>
    <w:rsid w:val="002F1D14"/>
    <w:rsid w:val="003124BB"/>
    <w:rsid w:val="00327AD2"/>
    <w:rsid w:val="00337C9F"/>
    <w:rsid w:val="00345097"/>
    <w:rsid w:val="00361AC0"/>
    <w:rsid w:val="00367D58"/>
    <w:rsid w:val="003A2B5B"/>
    <w:rsid w:val="003C4CE8"/>
    <w:rsid w:val="003E446B"/>
    <w:rsid w:val="003E5E4C"/>
    <w:rsid w:val="003F174F"/>
    <w:rsid w:val="004144F5"/>
    <w:rsid w:val="0042496C"/>
    <w:rsid w:val="00440BD5"/>
    <w:rsid w:val="00452671"/>
    <w:rsid w:val="00456FA4"/>
    <w:rsid w:val="00472FBA"/>
    <w:rsid w:val="00486F57"/>
    <w:rsid w:val="00497979"/>
    <w:rsid w:val="004A0F46"/>
    <w:rsid w:val="004A6854"/>
    <w:rsid w:val="004F67E1"/>
    <w:rsid w:val="0052247A"/>
    <w:rsid w:val="00564543"/>
    <w:rsid w:val="005829AF"/>
    <w:rsid w:val="005903CD"/>
    <w:rsid w:val="005B303F"/>
    <w:rsid w:val="005F5428"/>
    <w:rsid w:val="00605520"/>
    <w:rsid w:val="006068C1"/>
    <w:rsid w:val="00610EC9"/>
    <w:rsid w:val="006338C8"/>
    <w:rsid w:val="0066336C"/>
    <w:rsid w:val="00676CAA"/>
    <w:rsid w:val="006877AA"/>
    <w:rsid w:val="006A66D7"/>
    <w:rsid w:val="006A77C8"/>
    <w:rsid w:val="006B303A"/>
    <w:rsid w:val="006C7756"/>
    <w:rsid w:val="006D0731"/>
    <w:rsid w:val="006F51A3"/>
    <w:rsid w:val="0074231C"/>
    <w:rsid w:val="007505DB"/>
    <w:rsid w:val="00762F43"/>
    <w:rsid w:val="00791DED"/>
    <w:rsid w:val="007A03D5"/>
    <w:rsid w:val="007F683E"/>
    <w:rsid w:val="0081682E"/>
    <w:rsid w:val="00816873"/>
    <w:rsid w:val="0087418A"/>
    <w:rsid w:val="008813D3"/>
    <w:rsid w:val="008878D7"/>
    <w:rsid w:val="00894DF7"/>
    <w:rsid w:val="008C1149"/>
    <w:rsid w:val="008C280E"/>
    <w:rsid w:val="008E063E"/>
    <w:rsid w:val="008E434F"/>
    <w:rsid w:val="008E7A1D"/>
    <w:rsid w:val="009013CE"/>
    <w:rsid w:val="00922300"/>
    <w:rsid w:val="0092449F"/>
    <w:rsid w:val="009251F4"/>
    <w:rsid w:val="00951871"/>
    <w:rsid w:val="00953454"/>
    <w:rsid w:val="009605DB"/>
    <w:rsid w:val="00962C16"/>
    <w:rsid w:val="00963B58"/>
    <w:rsid w:val="00974918"/>
    <w:rsid w:val="00977698"/>
    <w:rsid w:val="00997188"/>
    <w:rsid w:val="009B2661"/>
    <w:rsid w:val="009E4CA0"/>
    <w:rsid w:val="00A061AF"/>
    <w:rsid w:val="00A164CA"/>
    <w:rsid w:val="00A343AC"/>
    <w:rsid w:val="00A3586E"/>
    <w:rsid w:val="00A42B24"/>
    <w:rsid w:val="00A54B8A"/>
    <w:rsid w:val="00AA0E95"/>
    <w:rsid w:val="00AA3C26"/>
    <w:rsid w:val="00AA5B8A"/>
    <w:rsid w:val="00AB6522"/>
    <w:rsid w:val="00AC1D76"/>
    <w:rsid w:val="00AC2590"/>
    <w:rsid w:val="00AD7DC7"/>
    <w:rsid w:val="00AE053A"/>
    <w:rsid w:val="00AE1A2F"/>
    <w:rsid w:val="00B102E4"/>
    <w:rsid w:val="00B13497"/>
    <w:rsid w:val="00B14F16"/>
    <w:rsid w:val="00B35383"/>
    <w:rsid w:val="00B50389"/>
    <w:rsid w:val="00B734E1"/>
    <w:rsid w:val="00B7474B"/>
    <w:rsid w:val="00B81AB7"/>
    <w:rsid w:val="00B94BF9"/>
    <w:rsid w:val="00BA519E"/>
    <w:rsid w:val="00BC4024"/>
    <w:rsid w:val="00BD1C24"/>
    <w:rsid w:val="00BE42B0"/>
    <w:rsid w:val="00C013A9"/>
    <w:rsid w:val="00C05654"/>
    <w:rsid w:val="00C12398"/>
    <w:rsid w:val="00C17202"/>
    <w:rsid w:val="00C23944"/>
    <w:rsid w:val="00C2721E"/>
    <w:rsid w:val="00C34ED4"/>
    <w:rsid w:val="00C421CE"/>
    <w:rsid w:val="00C45DBD"/>
    <w:rsid w:val="00C46CAD"/>
    <w:rsid w:val="00C61363"/>
    <w:rsid w:val="00C62781"/>
    <w:rsid w:val="00C63FF4"/>
    <w:rsid w:val="00C704ED"/>
    <w:rsid w:val="00C93B49"/>
    <w:rsid w:val="00CA18EE"/>
    <w:rsid w:val="00CA75DB"/>
    <w:rsid w:val="00CB58B4"/>
    <w:rsid w:val="00CB5FD7"/>
    <w:rsid w:val="00CE6C3E"/>
    <w:rsid w:val="00CF245E"/>
    <w:rsid w:val="00D44081"/>
    <w:rsid w:val="00D46F52"/>
    <w:rsid w:val="00D46FDB"/>
    <w:rsid w:val="00D50F10"/>
    <w:rsid w:val="00D51FAC"/>
    <w:rsid w:val="00D612F2"/>
    <w:rsid w:val="00D77CAB"/>
    <w:rsid w:val="00D869EC"/>
    <w:rsid w:val="00D870FE"/>
    <w:rsid w:val="00DA5758"/>
    <w:rsid w:val="00DC3650"/>
    <w:rsid w:val="00DD2F97"/>
    <w:rsid w:val="00DD35CA"/>
    <w:rsid w:val="00DF4AA7"/>
    <w:rsid w:val="00E029B6"/>
    <w:rsid w:val="00E45F30"/>
    <w:rsid w:val="00E62AB2"/>
    <w:rsid w:val="00E630DC"/>
    <w:rsid w:val="00E83A44"/>
    <w:rsid w:val="00E8552B"/>
    <w:rsid w:val="00EA6663"/>
    <w:rsid w:val="00EA6FC6"/>
    <w:rsid w:val="00EB7AEA"/>
    <w:rsid w:val="00EC6C28"/>
    <w:rsid w:val="00EE62C0"/>
    <w:rsid w:val="00EF48F2"/>
    <w:rsid w:val="00EF4B33"/>
    <w:rsid w:val="00EF7865"/>
    <w:rsid w:val="00F21A51"/>
    <w:rsid w:val="00F34A37"/>
    <w:rsid w:val="00F35769"/>
    <w:rsid w:val="00F56F39"/>
    <w:rsid w:val="00F603AA"/>
    <w:rsid w:val="00F6657E"/>
    <w:rsid w:val="00F73C27"/>
    <w:rsid w:val="00F7408E"/>
    <w:rsid w:val="00F84869"/>
    <w:rsid w:val="00F86254"/>
    <w:rsid w:val="00F91BB7"/>
    <w:rsid w:val="00F93059"/>
    <w:rsid w:val="00F95FE4"/>
    <w:rsid w:val="00FA54A5"/>
    <w:rsid w:val="00FC48A1"/>
    <w:rsid w:val="00FE1948"/>
    <w:rsid w:val="00FF17E4"/>
    <w:rsid w:val="00FF4CE4"/>
    <w:rsid w:val="00FF5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2C12100"/>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paragraph" w:customStyle="1" w:styleId="Standardimtext">
    <w:name w:val="Standardimtext"/>
    <w:basedOn w:val="Standard"/>
    <w:link w:val="StandardimtextZchn"/>
    <w:qFormat/>
    <w:rsid w:val="00F95FE4"/>
    <w:pPr>
      <w:tabs>
        <w:tab w:val="left" w:pos="2835"/>
        <w:tab w:val="left" w:pos="5670"/>
      </w:tabs>
      <w:spacing w:after="200" w:line="276" w:lineRule="auto"/>
    </w:pPr>
    <w:rPr>
      <w:rFonts w:asciiTheme="minorHAnsi" w:eastAsiaTheme="minorHAnsi" w:hAnsiTheme="minorHAnsi" w:cstheme="minorBidi"/>
      <w:sz w:val="22"/>
      <w:szCs w:val="22"/>
      <w:lang w:eastAsia="en-US"/>
    </w:rPr>
  </w:style>
  <w:style w:type="character" w:customStyle="1" w:styleId="StandardimtextZchn">
    <w:name w:val="Standardimtext Zchn"/>
    <w:basedOn w:val="Absatz-Standardschriftart"/>
    <w:link w:val="Standardimtext"/>
    <w:rsid w:val="00F95FE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5445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6255</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3</cp:revision>
  <cp:lastPrinted>2021-03-02T16:22:00Z</cp:lastPrinted>
  <dcterms:created xsi:type="dcterms:W3CDTF">2021-05-04T20:21:00Z</dcterms:created>
  <dcterms:modified xsi:type="dcterms:W3CDTF">2021-05-04T21:34:00Z</dcterms:modified>
</cp:coreProperties>
</file>