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8F341F" w:rsidRPr="008F341F">
        <w:rPr>
          <w:rFonts w:ascii="Arial" w:hAnsi="Arial"/>
          <w:b/>
          <w:sz w:val="32"/>
        </w:rPr>
        <w:t>Prognose für das Geschäftsjahr 2019</w:t>
      </w:r>
      <w:r w:rsidR="00836AA0">
        <w:rPr>
          <w:rFonts w:ascii="Arial" w:hAnsi="Arial"/>
          <w:b/>
          <w:sz w:val="32"/>
        </w:rPr>
        <w:t xml:space="preserve"> erhöht</w:t>
      </w:r>
    </w:p>
    <w:p w:rsidR="00862C4F" w:rsidRPr="00862C4F" w:rsidRDefault="00643792" w:rsidP="00862C4F">
      <w:pPr>
        <w:spacing w:after="120" w:line="360" w:lineRule="auto"/>
        <w:ind w:left="697"/>
        <w:jc w:val="both"/>
        <w:rPr>
          <w:rFonts w:ascii="Arial" w:hAnsi="Arial"/>
          <w:sz w:val="22"/>
        </w:rPr>
      </w:pPr>
      <w:r w:rsidRPr="00643792">
        <w:rPr>
          <w:rFonts w:ascii="Arial" w:hAnsi="Arial"/>
          <w:i/>
          <w:sz w:val="22"/>
        </w:rPr>
        <w:t>[</w:t>
      </w:r>
      <w:r w:rsidR="00862C4F" w:rsidRPr="00862C4F">
        <w:rPr>
          <w:rFonts w:ascii="Arial" w:hAnsi="Arial"/>
          <w:i/>
          <w:sz w:val="22"/>
        </w:rPr>
        <w:t xml:space="preserve">Essen, </w:t>
      </w:r>
      <w:r w:rsidR="007C281E">
        <w:rPr>
          <w:rFonts w:ascii="Arial" w:hAnsi="Arial"/>
          <w:i/>
          <w:sz w:val="22"/>
        </w:rPr>
        <w:t>11</w:t>
      </w:r>
      <w:r w:rsidR="00862C4F" w:rsidRPr="00862C4F">
        <w:rPr>
          <w:rFonts w:ascii="Arial" w:hAnsi="Arial"/>
          <w:i/>
          <w:sz w:val="22"/>
        </w:rPr>
        <w:t xml:space="preserve">. </w:t>
      </w:r>
      <w:r w:rsidR="007C281E">
        <w:rPr>
          <w:rFonts w:ascii="Arial" w:hAnsi="Arial"/>
          <w:i/>
          <w:sz w:val="22"/>
        </w:rPr>
        <w:t>September</w:t>
      </w:r>
      <w:r w:rsidR="00862C4F" w:rsidRPr="00862C4F">
        <w:rPr>
          <w:rFonts w:ascii="Arial" w:hAnsi="Arial"/>
          <w:i/>
          <w:sz w:val="22"/>
        </w:rPr>
        <w:t xml:space="preserve"> 2019</w:t>
      </w:r>
      <w:r w:rsidRPr="00643792">
        <w:rPr>
          <w:rFonts w:ascii="Arial" w:hAnsi="Arial"/>
          <w:i/>
          <w:sz w:val="22"/>
        </w:rPr>
        <w:t xml:space="preserve">] </w:t>
      </w:r>
      <w:r w:rsidR="00862C4F" w:rsidRPr="00862C4F">
        <w:rPr>
          <w:rFonts w:ascii="Arial" w:hAnsi="Arial"/>
          <w:sz w:val="22"/>
        </w:rPr>
        <w:t xml:space="preserve">Der Vorstand der secunet Security Networks AG (ISIN DE0007276503, WKN 727650) </w:t>
      </w:r>
      <w:r w:rsidR="001B31CD">
        <w:rPr>
          <w:rFonts w:ascii="Arial" w:hAnsi="Arial"/>
          <w:sz w:val="22"/>
        </w:rPr>
        <w:t>erhöht seine Prognose für das Geschäftsjahr 2019.</w:t>
      </w:r>
    </w:p>
    <w:p w:rsidR="00DC6314" w:rsidRDefault="000E58D9" w:rsidP="00862C4F">
      <w:pPr>
        <w:spacing w:after="120" w:line="360" w:lineRule="auto"/>
        <w:ind w:left="697"/>
        <w:jc w:val="both"/>
        <w:rPr>
          <w:rFonts w:ascii="Arial" w:hAnsi="Arial"/>
          <w:sz w:val="22"/>
        </w:rPr>
      </w:pPr>
      <w:r>
        <w:rPr>
          <w:rFonts w:ascii="Arial" w:hAnsi="Arial"/>
          <w:sz w:val="22"/>
        </w:rPr>
        <w:t>Aufbauend auf dem</w:t>
      </w:r>
      <w:r w:rsidR="007C281E">
        <w:rPr>
          <w:rFonts w:ascii="Arial" w:hAnsi="Arial"/>
          <w:sz w:val="22"/>
        </w:rPr>
        <w:t xml:space="preserve"> hervorragende</w:t>
      </w:r>
      <w:r>
        <w:rPr>
          <w:rFonts w:ascii="Arial" w:hAnsi="Arial"/>
          <w:sz w:val="22"/>
        </w:rPr>
        <w:t>n</w:t>
      </w:r>
      <w:r w:rsidR="007C281E">
        <w:rPr>
          <w:rFonts w:ascii="Arial" w:hAnsi="Arial"/>
          <w:sz w:val="22"/>
        </w:rPr>
        <w:t xml:space="preserve"> Ergebnis im ersten Halbjahr </w:t>
      </w:r>
      <w:r w:rsidR="001B31CD">
        <w:rPr>
          <w:rFonts w:ascii="Arial" w:hAnsi="Arial"/>
          <w:sz w:val="22"/>
        </w:rPr>
        <w:t xml:space="preserve">2019 sowie </w:t>
      </w:r>
      <w:r>
        <w:rPr>
          <w:rFonts w:ascii="Arial" w:hAnsi="Arial"/>
          <w:sz w:val="22"/>
        </w:rPr>
        <w:t xml:space="preserve">größeren Projekten, die in der zweiten Jahreshälfte noch realisiert werden können, </w:t>
      </w:r>
      <w:r w:rsidR="001B31CD">
        <w:rPr>
          <w:rFonts w:ascii="Arial" w:hAnsi="Arial"/>
          <w:sz w:val="22"/>
        </w:rPr>
        <w:t>erhöht der Vorstand der secunet Security Networks AG seinen Jahresa</w:t>
      </w:r>
      <w:r w:rsidR="007C281E">
        <w:rPr>
          <w:rFonts w:ascii="Arial" w:hAnsi="Arial"/>
          <w:sz w:val="22"/>
        </w:rPr>
        <w:t xml:space="preserve">usblick für den secunet Konzern </w:t>
      </w:r>
      <w:r w:rsidR="001B31CD">
        <w:rPr>
          <w:rFonts w:ascii="Arial" w:hAnsi="Arial"/>
          <w:sz w:val="22"/>
        </w:rPr>
        <w:t xml:space="preserve">auf Umsatzerlöse </w:t>
      </w:r>
      <w:r w:rsidR="007C281E">
        <w:rPr>
          <w:rFonts w:ascii="Arial" w:hAnsi="Arial"/>
          <w:sz w:val="22"/>
        </w:rPr>
        <w:t>in Höhe von etwa</w:t>
      </w:r>
      <w:r w:rsidR="001B31CD">
        <w:rPr>
          <w:rFonts w:ascii="Arial" w:hAnsi="Arial"/>
          <w:sz w:val="22"/>
        </w:rPr>
        <w:t xml:space="preserve"> </w:t>
      </w:r>
      <w:r>
        <w:rPr>
          <w:rFonts w:ascii="Arial" w:hAnsi="Arial"/>
          <w:sz w:val="22"/>
        </w:rPr>
        <w:t>210</w:t>
      </w:r>
      <w:r w:rsidR="001B31CD">
        <w:rPr>
          <w:rFonts w:ascii="Arial" w:hAnsi="Arial"/>
          <w:sz w:val="22"/>
        </w:rPr>
        <w:t xml:space="preserve"> Mio. Euro und ein Ergebnis vor Zinsen und Steuern (EBIT) </w:t>
      </w:r>
      <w:r w:rsidR="007C281E">
        <w:rPr>
          <w:rFonts w:ascii="Arial" w:hAnsi="Arial"/>
          <w:sz w:val="22"/>
        </w:rPr>
        <w:t>von etwa</w:t>
      </w:r>
      <w:r w:rsidR="001B31CD">
        <w:rPr>
          <w:rFonts w:ascii="Arial" w:hAnsi="Arial"/>
          <w:sz w:val="22"/>
        </w:rPr>
        <w:t xml:space="preserve"> </w:t>
      </w:r>
      <w:r w:rsidR="007C281E">
        <w:rPr>
          <w:rFonts w:ascii="Arial" w:hAnsi="Arial"/>
          <w:sz w:val="22"/>
        </w:rPr>
        <w:t>32</w:t>
      </w:r>
      <w:r>
        <w:rPr>
          <w:rFonts w:ascii="Arial" w:hAnsi="Arial"/>
          <w:sz w:val="22"/>
        </w:rPr>
        <w:t xml:space="preserve"> </w:t>
      </w:r>
      <w:r w:rsidR="001B31CD">
        <w:rPr>
          <w:rFonts w:ascii="Arial" w:hAnsi="Arial"/>
          <w:sz w:val="22"/>
        </w:rPr>
        <w:t xml:space="preserve">Mio. Euro (Geschäftsjahr 2018: Umsatz 163,3 Mio. Euro, EBIT 26,9 Mio. Euro). </w:t>
      </w:r>
      <w:r w:rsidR="007C281E">
        <w:rPr>
          <w:rFonts w:ascii="Arial" w:hAnsi="Arial"/>
          <w:sz w:val="22"/>
        </w:rPr>
        <w:t>In ihrer Mitteilung vo</w:t>
      </w:r>
      <w:bookmarkStart w:id="0" w:name="_GoBack"/>
      <w:bookmarkEnd w:id="0"/>
      <w:r w:rsidR="007C281E">
        <w:rPr>
          <w:rFonts w:ascii="Arial" w:hAnsi="Arial"/>
          <w:sz w:val="22"/>
        </w:rPr>
        <w:t xml:space="preserve">m 2. Mai 2019 hatte die </w:t>
      </w:r>
      <w:r w:rsidR="001B31CD">
        <w:rPr>
          <w:rFonts w:ascii="Arial" w:hAnsi="Arial"/>
          <w:sz w:val="22"/>
        </w:rPr>
        <w:t xml:space="preserve">Gesellschaft </w:t>
      </w:r>
      <w:r w:rsidR="007C281E">
        <w:rPr>
          <w:rFonts w:ascii="Arial" w:hAnsi="Arial"/>
          <w:sz w:val="22"/>
        </w:rPr>
        <w:t xml:space="preserve">eine </w:t>
      </w:r>
      <w:r w:rsidR="00836AA0">
        <w:rPr>
          <w:rFonts w:ascii="Arial" w:hAnsi="Arial"/>
          <w:sz w:val="22"/>
        </w:rPr>
        <w:t xml:space="preserve">erste </w:t>
      </w:r>
      <w:r w:rsidR="007C281E">
        <w:rPr>
          <w:rFonts w:ascii="Arial" w:hAnsi="Arial"/>
          <w:sz w:val="22"/>
        </w:rPr>
        <w:t>Prognose</w:t>
      </w:r>
      <w:r w:rsidR="00836AA0">
        <w:rPr>
          <w:rFonts w:ascii="Arial" w:hAnsi="Arial"/>
          <w:sz w:val="22"/>
        </w:rPr>
        <w:t>erhöhung</w:t>
      </w:r>
      <w:r w:rsidR="007C281E">
        <w:rPr>
          <w:rFonts w:ascii="Arial" w:hAnsi="Arial"/>
          <w:sz w:val="22"/>
        </w:rPr>
        <w:t xml:space="preserve"> veröffentlicht, die </w:t>
      </w:r>
      <w:r w:rsidR="001B31CD">
        <w:rPr>
          <w:rFonts w:ascii="Arial" w:hAnsi="Arial"/>
          <w:sz w:val="22"/>
        </w:rPr>
        <w:t>Umsatzerlöse</w:t>
      </w:r>
      <w:r w:rsidR="007C281E">
        <w:rPr>
          <w:rFonts w:ascii="Arial" w:hAnsi="Arial"/>
          <w:sz w:val="22"/>
        </w:rPr>
        <w:t xml:space="preserve"> um 190 Mio. Euro und ein </w:t>
      </w:r>
      <w:r w:rsidR="001B31CD">
        <w:rPr>
          <w:rFonts w:ascii="Arial" w:hAnsi="Arial"/>
          <w:sz w:val="22"/>
        </w:rPr>
        <w:t>EBIT</w:t>
      </w:r>
      <w:r w:rsidR="007C281E">
        <w:rPr>
          <w:rFonts w:ascii="Arial" w:hAnsi="Arial"/>
          <w:sz w:val="22"/>
        </w:rPr>
        <w:t xml:space="preserve"> um 30 Mio. Euro vorsah.</w:t>
      </w:r>
      <w:r w:rsidR="00836AA0" w:rsidRPr="00836AA0">
        <w:rPr>
          <w:rFonts w:ascii="Arial" w:hAnsi="Arial"/>
          <w:sz w:val="22"/>
        </w:rPr>
        <w:t xml:space="preserve"> </w:t>
      </w:r>
      <w:r w:rsidR="00836AA0">
        <w:rPr>
          <w:rFonts w:ascii="Arial" w:hAnsi="Arial"/>
          <w:sz w:val="22"/>
        </w:rPr>
        <w:t>Zum Zeitpunkt der Veröffentlichung des Geschäftsberichts 2018 im März 2019 rechnete die Gesellschaft noch mit einer leichten Steigerung der Umsatzerlöse und einer leicht unter Vorjahresniveau liegenden EBIT-Marge.</w:t>
      </w:r>
    </w:p>
    <w:p w:rsidR="0016437E" w:rsidRPr="00C34E26" w:rsidRDefault="0016437E" w:rsidP="00C17202">
      <w:pPr>
        <w:spacing w:after="120" w:line="360" w:lineRule="auto"/>
        <w:ind w:left="697"/>
        <w:jc w:val="both"/>
        <w:rPr>
          <w:rFonts w:ascii="Arial" w:hAnsi="Arial"/>
          <w:sz w:val="22"/>
        </w:rPr>
      </w:pPr>
    </w:p>
    <w:p w:rsidR="000D3F75" w:rsidRDefault="000D3F75">
      <w:pPr>
        <w:rPr>
          <w:rFonts w:ascii="Arial" w:hAnsi="Arial"/>
          <w:sz w:val="22"/>
        </w:rPr>
      </w:pPr>
      <w:r>
        <w:rPr>
          <w:rFonts w:ascii="Arial" w:hAnsi="Arial"/>
          <w:sz w:val="22"/>
        </w:rPr>
        <w:br w:type="page"/>
      </w:r>
    </w:p>
    <w:p w:rsidR="00FB5A61" w:rsidRPr="00664003" w:rsidRDefault="00FB5A61" w:rsidP="00B4368C">
      <w:pPr>
        <w:ind w:left="697" w:right="-2"/>
        <w:jc w:val="both"/>
        <w:rPr>
          <w:rFonts w:ascii="Arial" w:hAnsi="Arial"/>
          <w:sz w:val="22"/>
        </w:rPr>
      </w:pPr>
      <w:r w:rsidRPr="00664003">
        <w:rPr>
          <w:rFonts w:ascii="Arial" w:hAnsi="Arial"/>
          <w:sz w:val="22"/>
        </w:rPr>
        <w:lastRenderedPageBreak/>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Dr. Kay Rathke</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Tel: +49 201 5454-1221</w:t>
      </w:r>
    </w:p>
    <w:p w:rsidR="0060473C" w:rsidRPr="00862C4F" w:rsidRDefault="00FB5A61" w:rsidP="0060473C">
      <w:pPr>
        <w:ind w:left="697" w:right="-2"/>
        <w:jc w:val="both"/>
        <w:rPr>
          <w:rFonts w:ascii="Arial" w:hAnsi="Arial" w:cs="Arial"/>
          <w:sz w:val="22"/>
          <w:lang w:val="en-US"/>
        </w:rPr>
      </w:pPr>
      <w:r w:rsidRPr="00862C4F">
        <w:rPr>
          <w:rFonts w:ascii="Arial" w:hAnsi="Arial"/>
          <w:sz w:val="22"/>
          <w:lang w:val="en-US"/>
        </w:rPr>
        <w:t>E-Mail</w:t>
      </w:r>
      <w:r w:rsidRPr="00862C4F">
        <w:rPr>
          <w:rFonts w:ascii="Arial" w:hAnsi="Arial" w:cs="Arial"/>
          <w:sz w:val="22"/>
          <w:lang w:val="en-US"/>
        </w:rPr>
        <w:t xml:space="preserve">: </w:t>
      </w:r>
      <w:hyperlink r:id="rId8" w:history="1">
        <w:r w:rsidR="0060473C" w:rsidRPr="00862C4F">
          <w:rPr>
            <w:rStyle w:val="Hyperlink"/>
            <w:rFonts w:ascii="Arial" w:hAnsi="Arial" w:cs="Arial"/>
            <w:sz w:val="22"/>
            <w:lang w:val="en-US"/>
          </w:rPr>
          <w:t>kay.rathke@secunet.com</w:t>
        </w:r>
      </w:hyperlink>
    </w:p>
    <w:p w:rsidR="00FB5A61" w:rsidRPr="00862C4F" w:rsidRDefault="00FB5A61" w:rsidP="00B4368C">
      <w:pPr>
        <w:spacing w:line="300" w:lineRule="exact"/>
        <w:ind w:left="697" w:right="-2"/>
        <w:jc w:val="both"/>
        <w:rPr>
          <w:rFonts w:ascii="Arial" w:hAnsi="Arial"/>
          <w:sz w:val="22"/>
          <w:lang w:val="en-US"/>
        </w:rPr>
      </w:pP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62396E" w:rsidRDefault="00C97C1D" w:rsidP="0062396E">
      <w:pPr>
        <w:pStyle w:val="Kopfzeile"/>
        <w:ind w:left="709"/>
        <w:jc w:val="both"/>
        <w:rPr>
          <w:rFonts w:ascii="Arial" w:hAnsi="Arial"/>
          <w:sz w:val="16"/>
        </w:rPr>
      </w:pPr>
      <w:hyperlink r:id="rId10"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62396E" w:rsidRPr="001A6C14" w:rsidRDefault="0062396E" w:rsidP="0062396E">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w:t>
      </w:r>
      <w:r>
        <w:rPr>
          <w:rFonts w:ascii="Arial" w:hAnsi="Arial" w:cs="Arial"/>
          <w:sz w:val="16"/>
          <w:szCs w:val="16"/>
        </w:rPr>
        <w:t xml:space="preserve">svolle IT-Sicherheit. Mehr als </w:t>
      </w:r>
      <w:r w:rsidR="007C281E">
        <w:rPr>
          <w:rFonts w:ascii="Arial" w:hAnsi="Arial" w:cs="Arial"/>
          <w:sz w:val="16"/>
          <w:szCs w:val="16"/>
        </w:rPr>
        <w:t>600</w:t>
      </w:r>
      <w:r w:rsidRPr="001A6C14">
        <w:rPr>
          <w:rFonts w:ascii="Arial" w:hAnsi="Arial" w:cs="Arial"/>
          <w:sz w:val="16"/>
          <w:szCs w:val="16"/>
        </w:rPr>
        <w:t xml:space="preserve">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62396E" w:rsidRPr="001A6C14" w:rsidRDefault="0062396E" w:rsidP="0062396E">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862C4F">
        <w:rPr>
          <w:rFonts w:ascii="Arial" w:hAnsi="Arial" w:cs="Arial"/>
          <w:sz w:val="16"/>
          <w:szCs w:val="16"/>
        </w:rPr>
        <w:t>2018</w:t>
      </w:r>
      <w:r w:rsidRPr="001A6C14">
        <w:rPr>
          <w:rFonts w:ascii="Arial" w:hAnsi="Arial" w:cs="Arial"/>
          <w:sz w:val="16"/>
          <w:szCs w:val="16"/>
        </w:rPr>
        <w:t xml:space="preserve"> einen Umsatz von </w:t>
      </w:r>
      <w:r w:rsidR="00862C4F">
        <w:rPr>
          <w:rFonts w:ascii="Arial" w:hAnsi="Arial" w:cs="Arial"/>
          <w:sz w:val="16"/>
          <w:szCs w:val="16"/>
        </w:rPr>
        <w:t>163,3</w:t>
      </w:r>
      <w:r w:rsidRPr="001A6C14">
        <w:rPr>
          <w:rFonts w:ascii="Arial" w:hAnsi="Arial" w:cs="Arial"/>
          <w:sz w:val="16"/>
          <w:szCs w:val="16"/>
        </w:rPr>
        <w:t xml:space="preserve"> Millionen Euro. Die secunet Security Networks AG ist im Prime Standard der Deutschen Börse gelistet.</w:t>
      </w:r>
    </w:p>
    <w:p w:rsidR="0062396E" w:rsidRDefault="0062396E" w:rsidP="0062396E">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15" w:rsidRDefault="006A2815">
      <w:r>
        <w:separator/>
      </w:r>
    </w:p>
  </w:endnote>
  <w:endnote w:type="continuationSeparator" w:id="0">
    <w:p w:rsidR="006A2815" w:rsidRDefault="006A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C97C1D">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C97C1D">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15" w:rsidRDefault="006A2815">
      <w:r>
        <w:separator/>
      </w:r>
    </w:p>
  </w:footnote>
  <w:footnote w:type="continuationSeparator" w:id="0">
    <w:p w:rsidR="006A2815" w:rsidRDefault="006A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D3F75"/>
    <w:rsid w:val="000E58D9"/>
    <w:rsid w:val="000E64A8"/>
    <w:rsid w:val="00100593"/>
    <w:rsid w:val="001075C5"/>
    <w:rsid w:val="00110135"/>
    <w:rsid w:val="00130C10"/>
    <w:rsid w:val="0014378D"/>
    <w:rsid w:val="0016437E"/>
    <w:rsid w:val="001B31CD"/>
    <w:rsid w:val="001F70FA"/>
    <w:rsid w:val="00212497"/>
    <w:rsid w:val="002216B2"/>
    <w:rsid w:val="00227CF5"/>
    <w:rsid w:val="00252C1A"/>
    <w:rsid w:val="002548A9"/>
    <w:rsid w:val="002A6536"/>
    <w:rsid w:val="002B6ED4"/>
    <w:rsid w:val="002D49C7"/>
    <w:rsid w:val="00316738"/>
    <w:rsid w:val="00327AD2"/>
    <w:rsid w:val="00330918"/>
    <w:rsid w:val="003527F0"/>
    <w:rsid w:val="00355DF3"/>
    <w:rsid w:val="00375096"/>
    <w:rsid w:val="003A2B5B"/>
    <w:rsid w:val="003B4BD9"/>
    <w:rsid w:val="003D5DDD"/>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77AA"/>
    <w:rsid w:val="006A21CF"/>
    <w:rsid w:val="006A2815"/>
    <w:rsid w:val="006B303A"/>
    <w:rsid w:val="006C51E1"/>
    <w:rsid w:val="006C7756"/>
    <w:rsid w:val="007505DB"/>
    <w:rsid w:val="00792788"/>
    <w:rsid w:val="007A03D5"/>
    <w:rsid w:val="007C0587"/>
    <w:rsid w:val="007C2541"/>
    <w:rsid w:val="007C281E"/>
    <w:rsid w:val="00836AA0"/>
    <w:rsid w:val="00862C4F"/>
    <w:rsid w:val="0087418A"/>
    <w:rsid w:val="008860BE"/>
    <w:rsid w:val="00894DF7"/>
    <w:rsid w:val="008C280E"/>
    <w:rsid w:val="008E063E"/>
    <w:rsid w:val="008E0A14"/>
    <w:rsid w:val="008E282E"/>
    <w:rsid w:val="008E7A1D"/>
    <w:rsid w:val="008F341F"/>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97C1D"/>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424B0"/>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8E5514-8AD7-49F0-845D-EE079FA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EC0C-40BE-4AB4-9055-01FD192E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3508</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2019-09-11T14:17:00Z</cp:lastPrinted>
  <dcterms:created xsi:type="dcterms:W3CDTF">2019-09-11T14:26:00Z</dcterms:created>
  <dcterms:modified xsi:type="dcterms:W3CDTF">2019-09-11T14:26:00Z</dcterms:modified>
</cp:coreProperties>
</file>